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F9E" w:rsidRDefault="00BD7936" w:rsidP="00AC1FB4">
      <w:pPr>
        <w:shd w:val="clear" w:color="auto" w:fill="FFFFFF" w:themeFill="background1"/>
        <w:jc w:val="center"/>
        <w:rPr>
          <w:b/>
          <w:sz w:val="32"/>
          <w:szCs w:val="32"/>
        </w:rPr>
      </w:pPr>
      <w:r>
        <w:rPr>
          <w:rFonts w:hint="eastAsia"/>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1370102</wp:posOffset>
                </wp:positionH>
                <wp:positionV relativeFrom="paragraph">
                  <wp:posOffset>2540</wp:posOffset>
                </wp:positionV>
                <wp:extent cx="3420776" cy="467067"/>
                <wp:effectExtent l="0" t="0" r="27305" b="28575"/>
                <wp:wrapNone/>
                <wp:docPr id="2" name="角丸四角形 2"/>
                <wp:cNvGraphicFramePr/>
                <a:graphic xmlns:a="http://schemas.openxmlformats.org/drawingml/2006/main">
                  <a:graphicData uri="http://schemas.microsoft.com/office/word/2010/wordprocessingShape">
                    <wps:wsp>
                      <wps:cNvSpPr/>
                      <wps:spPr>
                        <a:xfrm>
                          <a:off x="0" y="0"/>
                          <a:ext cx="3420776" cy="467067"/>
                        </a:xfrm>
                        <a:prstGeom prst="round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67F4379" id="角丸四角形 2" o:spid="_x0000_s1026" style="position:absolute;left:0;text-align:left;margin-left:107.9pt;margin-top:.2pt;width:269.35pt;height:36.8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" filled="f" strokecolor="#44546a [3215]" strokeweight="1pt">
                <v:stroke joinstyle="miter"/>
              </v:roundrect>
            </w:pict>
          </mc:Fallback>
        </mc:AlternateContent>
      </w:r>
      <w:r w:rsidR="00775F9E" w:rsidRPr="00BD7936">
        <w:rPr>
          <w:rFonts w:hint="eastAsia"/>
          <w:b/>
          <w:sz w:val="32"/>
          <w:szCs w:val="32"/>
        </w:rPr>
        <w:t>平成２９年度与党税制改正大綱</w:t>
      </w:r>
    </w:p>
    <w:p w:rsidR="005C0294" w:rsidRDefault="005C0294" w:rsidP="00AC1FB4">
      <w:pPr>
        <w:spacing w:after="0"/>
        <w:rPr>
          <w:b/>
          <w:sz w:val="18"/>
          <w:szCs w:val="18"/>
          <w:bdr w:val="single" w:sz="4" w:space="0" w:color="auto"/>
        </w:rPr>
      </w:pPr>
    </w:p>
    <w:p w:rsidR="00602162" w:rsidRPr="00131D1B" w:rsidRDefault="00775F9E" w:rsidP="00AC1FB4">
      <w:pPr>
        <w:spacing w:after="0"/>
        <w:rPr>
          <w:b/>
          <w:sz w:val="18"/>
          <w:szCs w:val="18"/>
          <w:bdr w:val="single" w:sz="4" w:space="0" w:color="auto"/>
        </w:rPr>
      </w:pPr>
      <w:r w:rsidRPr="00131D1B">
        <w:rPr>
          <w:rFonts w:hint="eastAsia"/>
          <w:b/>
          <w:sz w:val="18"/>
          <w:szCs w:val="18"/>
          <w:bdr w:val="single" w:sz="4" w:space="0" w:color="auto"/>
        </w:rPr>
        <w:t>Ⅰ</w:t>
      </w:r>
      <w:r w:rsidR="00410485" w:rsidRPr="00131D1B">
        <w:rPr>
          <w:rFonts w:hint="eastAsia"/>
          <w:b/>
          <w:sz w:val="18"/>
          <w:szCs w:val="18"/>
          <w:bdr w:val="single" w:sz="4" w:space="0" w:color="auto"/>
        </w:rPr>
        <w:t xml:space="preserve">　</w:t>
      </w:r>
      <w:r w:rsidRPr="00131D1B">
        <w:rPr>
          <w:rFonts w:hint="eastAsia"/>
          <w:b/>
          <w:sz w:val="18"/>
          <w:szCs w:val="18"/>
          <w:bdr w:val="single" w:sz="4" w:space="0" w:color="auto"/>
        </w:rPr>
        <w:t>個人所得課税</w:t>
      </w:r>
      <w:r w:rsidR="004A5DED" w:rsidRPr="00131D1B">
        <w:rPr>
          <w:rFonts w:hint="eastAsia"/>
          <w:b/>
          <w:sz w:val="18"/>
          <w:szCs w:val="18"/>
          <w:bdr w:val="single" w:sz="4" w:space="0" w:color="auto"/>
        </w:rPr>
        <w:t xml:space="preserve">（所得税）　</w:t>
      </w:r>
    </w:p>
    <w:p w:rsidR="00775F9E" w:rsidRPr="00131D1B" w:rsidRDefault="00775F9E" w:rsidP="004A7AFA">
      <w:pPr>
        <w:pStyle w:val="a7"/>
        <w:numPr>
          <w:ilvl w:val="0"/>
          <w:numId w:val="1"/>
        </w:numPr>
        <w:spacing w:after="0" w:line="240" w:lineRule="auto"/>
        <w:ind w:leftChars="0"/>
        <w:rPr>
          <w:sz w:val="18"/>
          <w:szCs w:val="18"/>
        </w:rPr>
      </w:pPr>
      <w:r w:rsidRPr="00131D1B">
        <w:rPr>
          <w:rFonts w:hint="eastAsia"/>
          <w:sz w:val="18"/>
          <w:szCs w:val="18"/>
        </w:rPr>
        <w:t>配偶者控除及び配偶者特別控除の見直し</w:t>
      </w:r>
    </w:p>
    <w:p w:rsidR="00FE6E3F" w:rsidRPr="00131D1B" w:rsidRDefault="00FE6E3F" w:rsidP="004A7AFA">
      <w:pPr>
        <w:pStyle w:val="a7"/>
        <w:spacing w:after="0" w:line="240" w:lineRule="auto"/>
        <w:ind w:leftChars="0" w:left="420"/>
        <w:rPr>
          <w:sz w:val="18"/>
          <w:szCs w:val="18"/>
        </w:rPr>
      </w:pPr>
      <w:r w:rsidRPr="00131D1B">
        <w:rPr>
          <w:rFonts w:hint="eastAsia"/>
          <w:sz w:val="18"/>
          <w:szCs w:val="18"/>
        </w:rPr>
        <w:t>配偶者控除の適用要件に居住者本人の所得制限が追加され、</w:t>
      </w:r>
      <w:r w:rsidR="00012789">
        <w:rPr>
          <w:rFonts w:hint="eastAsia"/>
          <w:sz w:val="18"/>
          <w:szCs w:val="18"/>
        </w:rPr>
        <w:t>居住者の</w:t>
      </w:r>
      <w:r w:rsidRPr="00131D1B">
        <w:rPr>
          <w:rFonts w:hint="eastAsia"/>
          <w:sz w:val="18"/>
          <w:szCs w:val="18"/>
        </w:rPr>
        <w:t>所得金額に応じ</w:t>
      </w:r>
      <w:r w:rsidR="00900726" w:rsidRPr="00131D1B">
        <w:rPr>
          <w:rFonts w:hint="eastAsia"/>
          <w:sz w:val="18"/>
          <w:szCs w:val="18"/>
        </w:rPr>
        <w:t>て</w:t>
      </w:r>
      <w:r w:rsidRPr="00131D1B">
        <w:rPr>
          <w:rFonts w:hint="eastAsia"/>
          <w:sz w:val="18"/>
          <w:szCs w:val="18"/>
        </w:rPr>
        <w:t>控除額（最大３８万円）が段階的に逓減</w:t>
      </w:r>
      <w:r w:rsidR="00A34E2D">
        <w:rPr>
          <w:rFonts w:hint="eastAsia"/>
          <w:sz w:val="18"/>
          <w:szCs w:val="18"/>
        </w:rPr>
        <w:t>（合計所得金額が１，０００万円超で控除額がゼロ）</w:t>
      </w:r>
      <w:r w:rsidR="007179F9">
        <w:rPr>
          <w:rFonts w:hint="eastAsia"/>
          <w:sz w:val="18"/>
          <w:szCs w:val="18"/>
        </w:rPr>
        <w:t>する</w:t>
      </w:r>
      <w:r w:rsidR="00900726" w:rsidRPr="00131D1B">
        <w:rPr>
          <w:rFonts w:hint="eastAsia"/>
          <w:sz w:val="18"/>
          <w:szCs w:val="18"/>
        </w:rPr>
        <w:t>。</w:t>
      </w:r>
    </w:p>
    <w:p w:rsidR="00900726" w:rsidRPr="00131D1B" w:rsidRDefault="00900726" w:rsidP="004A7AFA">
      <w:pPr>
        <w:pStyle w:val="a7"/>
        <w:spacing w:after="0" w:line="240" w:lineRule="auto"/>
        <w:ind w:leftChars="0" w:left="420"/>
        <w:rPr>
          <w:sz w:val="18"/>
          <w:szCs w:val="18"/>
        </w:rPr>
      </w:pPr>
      <w:r w:rsidRPr="00131D1B">
        <w:rPr>
          <w:rFonts w:hint="eastAsia"/>
          <w:sz w:val="18"/>
          <w:szCs w:val="18"/>
        </w:rPr>
        <w:t>一方、配偶者特別控除</w:t>
      </w:r>
      <w:r w:rsidR="007179F9">
        <w:rPr>
          <w:rFonts w:hint="eastAsia"/>
          <w:sz w:val="18"/>
          <w:szCs w:val="18"/>
        </w:rPr>
        <w:t>については</w:t>
      </w:r>
      <w:r w:rsidRPr="00131D1B">
        <w:rPr>
          <w:rFonts w:hint="eastAsia"/>
          <w:sz w:val="18"/>
          <w:szCs w:val="18"/>
        </w:rPr>
        <w:t>、</w:t>
      </w:r>
      <w:r w:rsidR="00CE5B4A">
        <w:rPr>
          <w:rFonts w:hint="eastAsia"/>
          <w:sz w:val="18"/>
          <w:szCs w:val="18"/>
        </w:rPr>
        <w:t>従前どおり居住者本人の所得制限（合計所得金額１，０００万円以下）を残しつつ、</w:t>
      </w:r>
      <w:r w:rsidRPr="00131D1B">
        <w:rPr>
          <w:rFonts w:hint="eastAsia"/>
          <w:sz w:val="18"/>
          <w:szCs w:val="18"/>
        </w:rPr>
        <w:t>配偶者の所得制限が緩和され</w:t>
      </w:r>
      <w:r w:rsidR="007179F9">
        <w:rPr>
          <w:rFonts w:hint="eastAsia"/>
          <w:sz w:val="18"/>
          <w:szCs w:val="18"/>
        </w:rPr>
        <w:t>る</w:t>
      </w:r>
      <w:r w:rsidRPr="00131D1B">
        <w:rPr>
          <w:rFonts w:hint="eastAsia"/>
          <w:sz w:val="18"/>
          <w:szCs w:val="18"/>
        </w:rPr>
        <w:t>。</w:t>
      </w:r>
    </w:p>
    <w:p w:rsidR="00900726" w:rsidRDefault="00F67435" w:rsidP="004A7AFA">
      <w:pPr>
        <w:pStyle w:val="a7"/>
        <w:spacing w:after="0" w:line="240" w:lineRule="auto"/>
        <w:ind w:leftChars="0" w:left="420"/>
        <w:rPr>
          <w:sz w:val="18"/>
          <w:szCs w:val="18"/>
        </w:rPr>
      </w:pPr>
      <w:r>
        <w:rPr>
          <w:rFonts w:hint="eastAsia"/>
          <w:sz w:val="18"/>
          <w:szCs w:val="18"/>
        </w:rPr>
        <w:t>現行：３８万円超７６万円未満</w:t>
      </w:r>
      <w:r w:rsidR="00900726" w:rsidRPr="00131D1B">
        <w:rPr>
          <w:rFonts w:hint="eastAsia"/>
          <w:sz w:val="18"/>
          <w:szCs w:val="18"/>
        </w:rPr>
        <w:t xml:space="preserve">　⇒　改正案：３８万円超１２３万円以下</w:t>
      </w:r>
    </w:p>
    <w:p w:rsidR="00E5332A" w:rsidRPr="00131D1B" w:rsidRDefault="00E5332A" w:rsidP="004A7AFA">
      <w:pPr>
        <w:pStyle w:val="a7"/>
        <w:spacing w:after="0" w:line="240" w:lineRule="auto"/>
        <w:ind w:leftChars="0" w:left="420"/>
        <w:rPr>
          <w:sz w:val="18"/>
          <w:szCs w:val="18"/>
        </w:rPr>
      </w:pPr>
      <w:r w:rsidRPr="00621A34">
        <w:rPr>
          <w:rFonts w:hint="eastAsia"/>
          <w:color w:val="2F5496" w:themeColor="accent5" w:themeShade="BF"/>
          <w:sz w:val="18"/>
          <w:szCs w:val="18"/>
        </w:rPr>
        <w:t>適用時期：平成３０年分以後</w:t>
      </w:r>
    </w:p>
    <w:p w:rsidR="00856292" w:rsidRPr="00131D1B" w:rsidRDefault="00856292" w:rsidP="00856292">
      <w:pPr>
        <w:pStyle w:val="a7"/>
        <w:numPr>
          <w:ilvl w:val="0"/>
          <w:numId w:val="8"/>
        </w:numPr>
        <w:spacing w:after="0"/>
        <w:ind w:leftChars="0"/>
        <w:rPr>
          <w:sz w:val="18"/>
          <w:szCs w:val="18"/>
        </w:rPr>
      </w:pPr>
      <w:r w:rsidRPr="00131D1B">
        <w:rPr>
          <w:rFonts w:hint="eastAsia"/>
          <w:sz w:val="18"/>
          <w:szCs w:val="18"/>
        </w:rPr>
        <w:t>配偶者控除</w:t>
      </w:r>
    </w:p>
    <w:tbl>
      <w:tblPr>
        <w:tblStyle w:val="af6"/>
        <w:tblW w:w="0" w:type="auto"/>
        <w:tblInd w:w="640" w:type="dxa"/>
        <w:tblLook w:val="04A0" w:firstRow="1" w:lastRow="0" w:firstColumn="1" w:lastColumn="0" w:noHBand="0" w:noVBand="1"/>
      </w:tblPr>
      <w:tblGrid>
        <w:gridCol w:w="3466"/>
        <w:gridCol w:w="1985"/>
        <w:gridCol w:w="1984"/>
      </w:tblGrid>
      <w:tr w:rsidR="00856292" w:rsidRPr="00131D1B" w:rsidTr="00900726">
        <w:tc>
          <w:tcPr>
            <w:tcW w:w="3466" w:type="dxa"/>
            <w:vMerge w:val="restart"/>
          </w:tcPr>
          <w:p w:rsidR="00856292" w:rsidRPr="00131D1B" w:rsidRDefault="00900726" w:rsidP="00900726">
            <w:pPr>
              <w:pStyle w:val="a7"/>
              <w:ind w:leftChars="0" w:left="0"/>
              <w:jc w:val="center"/>
              <w:rPr>
                <w:sz w:val="16"/>
                <w:szCs w:val="16"/>
              </w:rPr>
            </w:pPr>
            <w:r w:rsidRPr="00131D1B">
              <w:rPr>
                <w:rFonts w:hint="eastAsia"/>
                <w:sz w:val="16"/>
                <w:szCs w:val="16"/>
              </w:rPr>
              <w:t>居住者の</w:t>
            </w:r>
            <w:r w:rsidR="001E4896">
              <w:rPr>
                <w:rFonts w:hint="eastAsia"/>
                <w:sz w:val="16"/>
                <w:szCs w:val="16"/>
              </w:rPr>
              <w:t>合計</w:t>
            </w:r>
            <w:r w:rsidRPr="00131D1B">
              <w:rPr>
                <w:rFonts w:hint="eastAsia"/>
                <w:sz w:val="16"/>
                <w:szCs w:val="16"/>
              </w:rPr>
              <w:t>所得金額</w:t>
            </w:r>
          </w:p>
        </w:tc>
        <w:tc>
          <w:tcPr>
            <w:tcW w:w="3969" w:type="dxa"/>
            <w:gridSpan w:val="2"/>
          </w:tcPr>
          <w:p w:rsidR="00856292" w:rsidRPr="00131D1B" w:rsidRDefault="00856292" w:rsidP="00FE6E3F">
            <w:pPr>
              <w:pStyle w:val="a7"/>
              <w:ind w:leftChars="0" w:left="0"/>
              <w:jc w:val="center"/>
              <w:rPr>
                <w:sz w:val="16"/>
                <w:szCs w:val="16"/>
              </w:rPr>
            </w:pPr>
            <w:r w:rsidRPr="00131D1B">
              <w:rPr>
                <w:rFonts w:hint="eastAsia"/>
                <w:sz w:val="16"/>
                <w:szCs w:val="16"/>
              </w:rPr>
              <w:t>控除額</w:t>
            </w:r>
          </w:p>
        </w:tc>
      </w:tr>
      <w:tr w:rsidR="00856292" w:rsidRPr="00131D1B" w:rsidTr="00900726">
        <w:tc>
          <w:tcPr>
            <w:tcW w:w="3466" w:type="dxa"/>
            <w:vMerge/>
          </w:tcPr>
          <w:p w:rsidR="00856292" w:rsidRPr="00131D1B" w:rsidRDefault="00856292" w:rsidP="00856292">
            <w:pPr>
              <w:pStyle w:val="a7"/>
              <w:ind w:leftChars="0" w:left="0"/>
              <w:rPr>
                <w:sz w:val="16"/>
                <w:szCs w:val="16"/>
              </w:rPr>
            </w:pPr>
          </w:p>
        </w:tc>
        <w:tc>
          <w:tcPr>
            <w:tcW w:w="1985" w:type="dxa"/>
          </w:tcPr>
          <w:p w:rsidR="00856292" w:rsidRPr="00131D1B" w:rsidRDefault="00856292" w:rsidP="00FE6E3F">
            <w:pPr>
              <w:pStyle w:val="a7"/>
              <w:ind w:leftChars="0" w:left="0"/>
              <w:jc w:val="center"/>
              <w:rPr>
                <w:sz w:val="16"/>
                <w:szCs w:val="16"/>
              </w:rPr>
            </w:pPr>
            <w:r w:rsidRPr="00131D1B">
              <w:rPr>
                <w:rFonts w:hint="eastAsia"/>
                <w:sz w:val="16"/>
                <w:szCs w:val="16"/>
              </w:rPr>
              <w:t>控除対象配偶者</w:t>
            </w:r>
          </w:p>
        </w:tc>
        <w:tc>
          <w:tcPr>
            <w:tcW w:w="1984" w:type="dxa"/>
          </w:tcPr>
          <w:p w:rsidR="00856292" w:rsidRPr="00131D1B" w:rsidRDefault="00856292" w:rsidP="00FE6E3F">
            <w:pPr>
              <w:pStyle w:val="a7"/>
              <w:ind w:leftChars="0" w:left="0"/>
              <w:jc w:val="center"/>
              <w:rPr>
                <w:sz w:val="16"/>
                <w:szCs w:val="16"/>
              </w:rPr>
            </w:pPr>
            <w:r w:rsidRPr="00131D1B">
              <w:rPr>
                <w:rFonts w:hint="eastAsia"/>
                <w:sz w:val="16"/>
                <w:szCs w:val="16"/>
              </w:rPr>
              <w:t>老人控除対象配偶者</w:t>
            </w:r>
          </w:p>
        </w:tc>
      </w:tr>
      <w:tr w:rsidR="00856292" w:rsidRPr="00131D1B" w:rsidTr="00900726">
        <w:tc>
          <w:tcPr>
            <w:tcW w:w="3466" w:type="dxa"/>
          </w:tcPr>
          <w:p w:rsidR="00856292" w:rsidRPr="00131D1B" w:rsidRDefault="00856292" w:rsidP="00FE6E3F">
            <w:pPr>
              <w:pStyle w:val="a7"/>
              <w:ind w:leftChars="0" w:left="0"/>
              <w:rPr>
                <w:sz w:val="16"/>
                <w:szCs w:val="16"/>
              </w:rPr>
            </w:pPr>
            <w:r w:rsidRPr="00131D1B">
              <w:rPr>
                <w:rFonts w:hint="eastAsia"/>
                <w:sz w:val="16"/>
                <w:szCs w:val="16"/>
              </w:rPr>
              <w:t>９００万円以下</w:t>
            </w:r>
          </w:p>
        </w:tc>
        <w:tc>
          <w:tcPr>
            <w:tcW w:w="1985" w:type="dxa"/>
          </w:tcPr>
          <w:p w:rsidR="00856292" w:rsidRPr="00131D1B" w:rsidRDefault="00FE6E3F" w:rsidP="00FE6E3F">
            <w:pPr>
              <w:pStyle w:val="a7"/>
              <w:ind w:leftChars="0" w:left="0"/>
              <w:jc w:val="center"/>
              <w:rPr>
                <w:sz w:val="16"/>
                <w:szCs w:val="16"/>
              </w:rPr>
            </w:pPr>
            <w:r w:rsidRPr="00131D1B">
              <w:rPr>
                <w:rFonts w:hint="eastAsia"/>
                <w:sz w:val="16"/>
                <w:szCs w:val="16"/>
              </w:rPr>
              <w:t>３８万円</w:t>
            </w:r>
          </w:p>
        </w:tc>
        <w:tc>
          <w:tcPr>
            <w:tcW w:w="1984" w:type="dxa"/>
          </w:tcPr>
          <w:p w:rsidR="00856292" w:rsidRPr="00131D1B" w:rsidRDefault="00FE6E3F" w:rsidP="00FE6E3F">
            <w:pPr>
              <w:pStyle w:val="a7"/>
              <w:ind w:leftChars="0" w:left="0"/>
              <w:jc w:val="center"/>
              <w:rPr>
                <w:sz w:val="16"/>
                <w:szCs w:val="16"/>
              </w:rPr>
            </w:pPr>
            <w:r w:rsidRPr="00131D1B">
              <w:rPr>
                <w:rFonts w:hint="eastAsia"/>
                <w:sz w:val="16"/>
                <w:szCs w:val="16"/>
              </w:rPr>
              <w:t>４８万円</w:t>
            </w:r>
          </w:p>
        </w:tc>
      </w:tr>
      <w:tr w:rsidR="00856292" w:rsidRPr="00131D1B" w:rsidTr="00900726">
        <w:tc>
          <w:tcPr>
            <w:tcW w:w="3466" w:type="dxa"/>
          </w:tcPr>
          <w:p w:rsidR="00856292" w:rsidRPr="00131D1B" w:rsidRDefault="00856292" w:rsidP="00FE6E3F">
            <w:pPr>
              <w:rPr>
                <w:sz w:val="16"/>
                <w:szCs w:val="16"/>
              </w:rPr>
            </w:pPr>
            <w:r w:rsidRPr="00131D1B">
              <w:rPr>
                <w:rFonts w:hint="eastAsia"/>
                <w:sz w:val="16"/>
                <w:szCs w:val="16"/>
              </w:rPr>
              <w:t>９００万円</w:t>
            </w:r>
            <w:r w:rsidR="00FE6E3F" w:rsidRPr="00131D1B">
              <w:rPr>
                <w:rFonts w:hint="eastAsia"/>
                <w:sz w:val="16"/>
                <w:szCs w:val="16"/>
              </w:rPr>
              <w:t xml:space="preserve">　</w:t>
            </w:r>
            <w:r w:rsidRPr="00131D1B">
              <w:rPr>
                <w:rFonts w:hint="eastAsia"/>
                <w:sz w:val="16"/>
                <w:szCs w:val="16"/>
              </w:rPr>
              <w:t>超</w:t>
            </w:r>
            <w:r w:rsidR="00FE6E3F" w:rsidRPr="00131D1B">
              <w:rPr>
                <w:rFonts w:hint="eastAsia"/>
                <w:sz w:val="16"/>
                <w:szCs w:val="16"/>
              </w:rPr>
              <w:t xml:space="preserve">　</w:t>
            </w:r>
            <w:r w:rsidRPr="00131D1B">
              <w:rPr>
                <w:rFonts w:hint="eastAsia"/>
                <w:sz w:val="16"/>
                <w:szCs w:val="16"/>
              </w:rPr>
              <w:t>９５０万円以下</w:t>
            </w:r>
          </w:p>
        </w:tc>
        <w:tc>
          <w:tcPr>
            <w:tcW w:w="1985" w:type="dxa"/>
          </w:tcPr>
          <w:p w:rsidR="00856292" w:rsidRPr="00131D1B" w:rsidRDefault="00FE6E3F" w:rsidP="00FE6E3F">
            <w:pPr>
              <w:pStyle w:val="a7"/>
              <w:ind w:leftChars="0" w:left="0"/>
              <w:jc w:val="center"/>
              <w:rPr>
                <w:sz w:val="16"/>
                <w:szCs w:val="16"/>
              </w:rPr>
            </w:pPr>
            <w:r w:rsidRPr="00131D1B">
              <w:rPr>
                <w:rFonts w:hint="eastAsia"/>
                <w:sz w:val="16"/>
                <w:szCs w:val="16"/>
              </w:rPr>
              <w:t>２６万円</w:t>
            </w:r>
          </w:p>
        </w:tc>
        <w:tc>
          <w:tcPr>
            <w:tcW w:w="1984" w:type="dxa"/>
          </w:tcPr>
          <w:p w:rsidR="00856292" w:rsidRPr="00131D1B" w:rsidRDefault="00FE6E3F" w:rsidP="00FE6E3F">
            <w:pPr>
              <w:pStyle w:val="a7"/>
              <w:ind w:leftChars="0" w:left="0"/>
              <w:jc w:val="center"/>
              <w:rPr>
                <w:sz w:val="16"/>
                <w:szCs w:val="16"/>
              </w:rPr>
            </w:pPr>
            <w:r w:rsidRPr="00131D1B">
              <w:rPr>
                <w:rFonts w:hint="eastAsia"/>
                <w:sz w:val="16"/>
                <w:szCs w:val="16"/>
              </w:rPr>
              <w:t>３２万円</w:t>
            </w:r>
          </w:p>
        </w:tc>
      </w:tr>
      <w:tr w:rsidR="00856292" w:rsidRPr="00131D1B" w:rsidTr="00900726">
        <w:tc>
          <w:tcPr>
            <w:tcW w:w="3466" w:type="dxa"/>
          </w:tcPr>
          <w:p w:rsidR="00856292" w:rsidRPr="00131D1B" w:rsidRDefault="00FE6E3F" w:rsidP="00FE6E3F">
            <w:pPr>
              <w:rPr>
                <w:sz w:val="16"/>
                <w:szCs w:val="16"/>
              </w:rPr>
            </w:pPr>
            <w:r w:rsidRPr="00131D1B">
              <w:rPr>
                <w:rFonts w:hint="eastAsia"/>
                <w:sz w:val="16"/>
                <w:szCs w:val="16"/>
              </w:rPr>
              <w:t>９５０万円　超　１，０００万円以下</w:t>
            </w:r>
          </w:p>
        </w:tc>
        <w:tc>
          <w:tcPr>
            <w:tcW w:w="1985" w:type="dxa"/>
          </w:tcPr>
          <w:p w:rsidR="00856292" w:rsidRPr="00131D1B" w:rsidRDefault="00FE6E3F" w:rsidP="00FE6E3F">
            <w:pPr>
              <w:pStyle w:val="a7"/>
              <w:ind w:leftChars="0" w:left="0"/>
              <w:jc w:val="center"/>
              <w:rPr>
                <w:sz w:val="16"/>
                <w:szCs w:val="16"/>
              </w:rPr>
            </w:pPr>
            <w:r w:rsidRPr="00131D1B">
              <w:rPr>
                <w:rFonts w:hint="eastAsia"/>
                <w:sz w:val="16"/>
                <w:szCs w:val="16"/>
              </w:rPr>
              <w:t>１３万円</w:t>
            </w:r>
          </w:p>
        </w:tc>
        <w:tc>
          <w:tcPr>
            <w:tcW w:w="1984" w:type="dxa"/>
          </w:tcPr>
          <w:p w:rsidR="00856292" w:rsidRPr="00131D1B" w:rsidRDefault="00FE6E3F" w:rsidP="00FE6E3F">
            <w:pPr>
              <w:pStyle w:val="a7"/>
              <w:ind w:leftChars="0" w:left="0"/>
              <w:jc w:val="center"/>
              <w:rPr>
                <w:sz w:val="16"/>
                <w:szCs w:val="16"/>
              </w:rPr>
            </w:pPr>
            <w:r w:rsidRPr="00131D1B">
              <w:rPr>
                <w:rFonts w:hint="eastAsia"/>
                <w:sz w:val="16"/>
                <w:szCs w:val="16"/>
              </w:rPr>
              <w:t>１６万円</w:t>
            </w:r>
          </w:p>
        </w:tc>
      </w:tr>
      <w:tr w:rsidR="00FE6E3F" w:rsidRPr="00131D1B" w:rsidTr="00900726">
        <w:tc>
          <w:tcPr>
            <w:tcW w:w="3466" w:type="dxa"/>
          </w:tcPr>
          <w:p w:rsidR="00FE6E3F" w:rsidRPr="00131D1B" w:rsidRDefault="00FE6E3F" w:rsidP="00856292">
            <w:pPr>
              <w:pStyle w:val="a7"/>
              <w:ind w:leftChars="0" w:left="0"/>
              <w:rPr>
                <w:sz w:val="16"/>
                <w:szCs w:val="16"/>
              </w:rPr>
            </w:pPr>
            <w:r w:rsidRPr="00131D1B">
              <w:rPr>
                <w:rFonts w:hint="eastAsia"/>
                <w:sz w:val="16"/>
                <w:szCs w:val="16"/>
              </w:rPr>
              <w:t>１，０００万円　超</w:t>
            </w:r>
          </w:p>
        </w:tc>
        <w:tc>
          <w:tcPr>
            <w:tcW w:w="3969" w:type="dxa"/>
            <w:gridSpan w:val="2"/>
          </w:tcPr>
          <w:p w:rsidR="00FE6E3F" w:rsidRPr="00131D1B" w:rsidRDefault="00FE6E3F" w:rsidP="00FE6E3F">
            <w:pPr>
              <w:pStyle w:val="a7"/>
              <w:ind w:leftChars="0" w:left="0"/>
              <w:jc w:val="center"/>
              <w:rPr>
                <w:sz w:val="16"/>
                <w:szCs w:val="16"/>
              </w:rPr>
            </w:pPr>
            <w:r w:rsidRPr="00131D1B">
              <w:rPr>
                <w:rFonts w:hint="eastAsia"/>
                <w:sz w:val="16"/>
                <w:szCs w:val="16"/>
              </w:rPr>
              <w:t>適用なし</w:t>
            </w:r>
          </w:p>
        </w:tc>
      </w:tr>
    </w:tbl>
    <w:p w:rsidR="004A7AFA" w:rsidRPr="00131D1B" w:rsidRDefault="00856292" w:rsidP="004A7AFA">
      <w:pPr>
        <w:pStyle w:val="a7"/>
        <w:numPr>
          <w:ilvl w:val="0"/>
          <w:numId w:val="8"/>
        </w:numPr>
        <w:spacing w:after="0"/>
        <w:ind w:leftChars="0"/>
        <w:rPr>
          <w:sz w:val="18"/>
          <w:szCs w:val="18"/>
        </w:rPr>
      </w:pPr>
      <w:r w:rsidRPr="00131D1B">
        <w:rPr>
          <w:rFonts w:hint="eastAsia"/>
          <w:sz w:val="18"/>
          <w:szCs w:val="18"/>
        </w:rPr>
        <w:t>配偶者特別控除</w:t>
      </w:r>
    </w:p>
    <w:p w:rsidR="00131D1B" w:rsidRPr="00131D1B" w:rsidRDefault="00515D0E" w:rsidP="00131D1B">
      <w:pPr>
        <w:pStyle w:val="a7"/>
        <w:spacing w:after="0"/>
        <w:ind w:leftChars="0" w:left="640"/>
        <w:rPr>
          <w:sz w:val="18"/>
          <w:szCs w:val="18"/>
        </w:rPr>
      </w:pPr>
      <w:r>
        <w:rPr>
          <w:rFonts w:hint="eastAsia"/>
          <w:sz w:val="18"/>
          <w:szCs w:val="18"/>
        </w:rPr>
        <w:t>居住者の</w:t>
      </w:r>
      <w:r w:rsidR="00131D1B" w:rsidRPr="00131D1B">
        <w:rPr>
          <w:rFonts w:hint="eastAsia"/>
          <w:sz w:val="18"/>
          <w:szCs w:val="18"/>
        </w:rPr>
        <w:t>合計所得金額</w:t>
      </w:r>
    </w:p>
    <w:p w:rsidR="00131D1B" w:rsidRDefault="00131D1B" w:rsidP="00131D1B">
      <w:pPr>
        <w:pStyle w:val="a7"/>
        <w:spacing w:after="0"/>
        <w:ind w:leftChars="0" w:left="640" w:firstLineChars="100" w:firstLine="120"/>
        <w:rPr>
          <w:sz w:val="12"/>
          <w:szCs w:val="12"/>
        </w:rPr>
        <w:sectPr w:rsidR="00131D1B" w:rsidSect="00AD07E3">
          <w:footerReference w:type="default" r:id="rId8"/>
          <w:type w:val="continuous"/>
          <w:pgSz w:w="11906" w:h="16838" w:code="9"/>
          <w:pgMar w:top="1134" w:right="1134" w:bottom="1134" w:left="1134" w:header="851" w:footer="680" w:gutter="0"/>
          <w:pgBorders w:offsetFrom="page">
            <w:top w:val="thinThickThinSmallGap" w:sz="24" w:space="24" w:color="1F3864" w:themeColor="accent5" w:themeShade="80" w:shadow="1"/>
            <w:left w:val="thinThickThinSmallGap" w:sz="24" w:space="24" w:color="1F3864" w:themeColor="accent5" w:themeShade="80" w:shadow="1"/>
            <w:bottom w:val="thinThickThinSmallGap" w:sz="24" w:space="24" w:color="1F3864" w:themeColor="accent5" w:themeShade="80" w:shadow="1"/>
            <w:right w:val="thinThickThinSmallGap" w:sz="24" w:space="24" w:color="1F3864" w:themeColor="accent5" w:themeShade="80" w:shadow="1"/>
          </w:pgBorders>
          <w:cols w:space="720"/>
          <w:docGrid w:type="lines" w:linePitch="360"/>
        </w:sectPr>
      </w:pPr>
    </w:p>
    <w:p w:rsidR="00131D1B" w:rsidRPr="00131D1B" w:rsidRDefault="00131D1B" w:rsidP="00131D1B">
      <w:pPr>
        <w:pStyle w:val="a7"/>
        <w:spacing w:after="0"/>
        <w:ind w:leftChars="0" w:left="640" w:firstLineChars="100" w:firstLine="120"/>
        <w:rPr>
          <w:sz w:val="12"/>
          <w:szCs w:val="12"/>
        </w:rPr>
      </w:pPr>
      <w:r w:rsidRPr="00131D1B">
        <w:rPr>
          <w:rFonts w:hint="eastAsia"/>
          <w:sz w:val="12"/>
          <w:szCs w:val="12"/>
        </w:rPr>
        <w:t>９００万円以下</w:t>
      </w:r>
    </w:p>
    <w:tbl>
      <w:tblPr>
        <w:tblStyle w:val="af6"/>
        <w:tblW w:w="2410" w:type="dxa"/>
        <w:tblInd w:w="704" w:type="dxa"/>
        <w:tblLook w:val="04A0" w:firstRow="1" w:lastRow="0" w:firstColumn="1" w:lastColumn="0" w:noHBand="0" w:noVBand="1"/>
      </w:tblPr>
      <w:tblGrid>
        <w:gridCol w:w="1701"/>
        <w:gridCol w:w="709"/>
      </w:tblGrid>
      <w:tr w:rsidR="004A7AFA" w:rsidRPr="00131D1B" w:rsidTr="00C82BD6">
        <w:tc>
          <w:tcPr>
            <w:tcW w:w="1701" w:type="dxa"/>
            <w:tcBorders>
              <w:bottom w:val="single" w:sz="4" w:space="0" w:color="auto"/>
            </w:tcBorders>
          </w:tcPr>
          <w:p w:rsidR="004A7AFA" w:rsidRPr="00131D1B" w:rsidRDefault="00131D1B" w:rsidP="00C82BD6">
            <w:pPr>
              <w:pStyle w:val="a7"/>
              <w:ind w:leftChars="0" w:left="0"/>
              <w:jc w:val="center"/>
              <w:rPr>
                <w:sz w:val="12"/>
                <w:szCs w:val="12"/>
              </w:rPr>
            </w:pPr>
            <w:r>
              <w:rPr>
                <w:rFonts w:hint="eastAsia"/>
                <w:sz w:val="12"/>
                <w:szCs w:val="12"/>
              </w:rPr>
              <w:t>配偶者の合計所得金額</w:t>
            </w:r>
          </w:p>
        </w:tc>
        <w:tc>
          <w:tcPr>
            <w:tcW w:w="709" w:type="dxa"/>
            <w:tcBorders>
              <w:bottom w:val="single" w:sz="4" w:space="0" w:color="auto"/>
            </w:tcBorders>
          </w:tcPr>
          <w:p w:rsidR="004A7AFA" w:rsidRPr="00131D1B" w:rsidRDefault="00C82BD6" w:rsidP="00C82BD6">
            <w:pPr>
              <w:pStyle w:val="a7"/>
              <w:ind w:leftChars="0" w:left="0"/>
              <w:jc w:val="center"/>
              <w:rPr>
                <w:sz w:val="12"/>
                <w:szCs w:val="12"/>
              </w:rPr>
            </w:pPr>
            <w:r>
              <w:rPr>
                <w:rFonts w:hint="eastAsia"/>
                <w:sz w:val="12"/>
                <w:szCs w:val="12"/>
              </w:rPr>
              <w:t>控除額</w:t>
            </w:r>
          </w:p>
        </w:tc>
      </w:tr>
      <w:tr w:rsidR="004A7AFA" w:rsidRPr="00131D1B" w:rsidTr="00C82BD6">
        <w:tc>
          <w:tcPr>
            <w:tcW w:w="1701" w:type="dxa"/>
            <w:tcBorders>
              <w:bottom w:val="dotted" w:sz="4" w:space="0" w:color="auto"/>
            </w:tcBorders>
          </w:tcPr>
          <w:p w:rsidR="004A7AFA" w:rsidRPr="00131D1B" w:rsidRDefault="004A7AFA" w:rsidP="00856292">
            <w:pPr>
              <w:pStyle w:val="a7"/>
              <w:ind w:leftChars="0" w:left="0"/>
              <w:rPr>
                <w:sz w:val="12"/>
                <w:szCs w:val="12"/>
              </w:rPr>
            </w:pPr>
            <w:r w:rsidRPr="00131D1B">
              <w:rPr>
                <w:rFonts w:hint="eastAsia"/>
                <w:sz w:val="12"/>
                <w:szCs w:val="12"/>
              </w:rPr>
              <w:t>３８</w:t>
            </w:r>
            <w:r w:rsidR="00C82BD6">
              <w:rPr>
                <w:rFonts w:hint="eastAsia"/>
                <w:sz w:val="12"/>
                <w:szCs w:val="12"/>
              </w:rPr>
              <w:t>万</w:t>
            </w:r>
            <w:r w:rsidRPr="00131D1B">
              <w:rPr>
                <w:rFonts w:hint="eastAsia"/>
                <w:sz w:val="12"/>
                <w:szCs w:val="12"/>
              </w:rPr>
              <w:t>超８５</w:t>
            </w:r>
            <w:r w:rsidR="00C82BD6">
              <w:rPr>
                <w:rFonts w:hint="eastAsia"/>
                <w:sz w:val="12"/>
                <w:szCs w:val="12"/>
              </w:rPr>
              <w:t>万</w:t>
            </w:r>
            <w:r w:rsidRPr="00131D1B">
              <w:rPr>
                <w:rFonts w:hint="eastAsia"/>
                <w:sz w:val="12"/>
                <w:szCs w:val="12"/>
              </w:rPr>
              <w:t>以下</w:t>
            </w:r>
          </w:p>
        </w:tc>
        <w:tc>
          <w:tcPr>
            <w:tcW w:w="709" w:type="dxa"/>
            <w:tcBorders>
              <w:bottom w:val="dotted" w:sz="4" w:space="0" w:color="auto"/>
            </w:tcBorders>
          </w:tcPr>
          <w:p w:rsidR="004A7AFA" w:rsidRPr="00131D1B" w:rsidRDefault="00C82BD6" w:rsidP="00C82BD6">
            <w:pPr>
              <w:pStyle w:val="a7"/>
              <w:ind w:leftChars="0" w:left="0"/>
              <w:jc w:val="center"/>
              <w:rPr>
                <w:sz w:val="12"/>
                <w:szCs w:val="12"/>
              </w:rPr>
            </w:pPr>
            <w:r>
              <w:rPr>
                <w:rFonts w:hint="eastAsia"/>
                <w:sz w:val="12"/>
                <w:szCs w:val="12"/>
              </w:rPr>
              <w:t>３８万</w:t>
            </w:r>
          </w:p>
        </w:tc>
      </w:tr>
      <w:tr w:rsidR="004A7AFA" w:rsidRPr="00131D1B" w:rsidTr="00C82BD6">
        <w:tc>
          <w:tcPr>
            <w:tcW w:w="1701" w:type="dxa"/>
            <w:tcBorders>
              <w:top w:val="dotted" w:sz="4" w:space="0" w:color="auto"/>
              <w:bottom w:val="dotted" w:sz="4" w:space="0" w:color="auto"/>
            </w:tcBorders>
          </w:tcPr>
          <w:p w:rsidR="004A7AFA" w:rsidRPr="00131D1B" w:rsidRDefault="00C82BD6" w:rsidP="00856292">
            <w:pPr>
              <w:pStyle w:val="a7"/>
              <w:ind w:leftChars="0" w:left="0"/>
              <w:rPr>
                <w:sz w:val="12"/>
                <w:szCs w:val="12"/>
              </w:rPr>
            </w:pPr>
            <w:r>
              <w:rPr>
                <w:rFonts w:hint="eastAsia"/>
                <w:sz w:val="12"/>
                <w:szCs w:val="12"/>
              </w:rPr>
              <w:t>８５万超９０万以下</w:t>
            </w:r>
          </w:p>
        </w:tc>
        <w:tc>
          <w:tcPr>
            <w:tcW w:w="709" w:type="dxa"/>
            <w:tcBorders>
              <w:top w:val="dotted" w:sz="4" w:space="0" w:color="auto"/>
              <w:bottom w:val="dotted" w:sz="4" w:space="0" w:color="auto"/>
            </w:tcBorders>
          </w:tcPr>
          <w:p w:rsidR="004A7AFA" w:rsidRPr="00131D1B" w:rsidRDefault="00C82BD6" w:rsidP="00C82BD6">
            <w:pPr>
              <w:pStyle w:val="a7"/>
              <w:ind w:leftChars="0" w:left="0"/>
              <w:jc w:val="center"/>
              <w:rPr>
                <w:sz w:val="12"/>
                <w:szCs w:val="12"/>
              </w:rPr>
            </w:pPr>
            <w:r>
              <w:rPr>
                <w:rFonts w:hint="eastAsia"/>
                <w:sz w:val="12"/>
                <w:szCs w:val="12"/>
              </w:rPr>
              <w:t>３６万</w:t>
            </w:r>
          </w:p>
        </w:tc>
      </w:tr>
      <w:tr w:rsidR="004A7AFA" w:rsidRPr="00131D1B" w:rsidTr="00C82BD6">
        <w:tc>
          <w:tcPr>
            <w:tcW w:w="1701" w:type="dxa"/>
            <w:tcBorders>
              <w:top w:val="dotted" w:sz="4" w:space="0" w:color="auto"/>
              <w:bottom w:val="dotted" w:sz="4" w:space="0" w:color="auto"/>
            </w:tcBorders>
          </w:tcPr>
          <w:p w:rsidR="004A7AFA" w:rsidRPr="00131D1B" w:rsidRDefault="00C82BD6" w:rsidP="00856292">
            <w:pPr>
              <w:pStyle w:val="a7"/>
              <w:ind w:leftChars="0" w:left="0"/>
              <w:rPr>
                <w:sz w:val="12"/>
                <w:szCs w:val="12"/>
              </w:rPr>
            </w:pPr>
            <w:r>
              <w:rPr>
                <w:rFonts w:hint="eastAsia"/>
                <w:sz w:val="12"/>
                <w:szCs w:val="12"/>
              </w:rPr>
              <w:t>９０万超９５万以下</w:t>
            </w:r>
          </w:p>
        </w:tc>
        <w:tc>
          <w:tcPr>
            <w:tcW w:w="709" w:type="dxa"/>
            <w:tcBorders>
              <w:top w:val="dotted" w:sz="4" w:space="0" w:color="auto"/>
              <w:bottom w:val="dotted" w:sz="4" w:space="0" w:color="auto"/>
            </w:tcBorders>
          </w:tcPr>
          <w:p w:rsidR="004A7AFA" w:rsidRPr="00131D1B" w:rsidRDefault="00C82BD6" w:rsidP="00C82BD6">
            <w:pPr>
              <w:pStyle w:val="a7"/>
              <w:ind w:leftChars="0" w:left="0"/>
              <w:jc w:val="center"/>
              <w:rPr>
                <w:sz w:val="12"/>
                <w:szCs w:val="12"/>
              </w:rPr>
            </w:pPr>
            <w:r>
              <w:rPr>
                <w:rFonts w:hint="eastAsia"/>
                <w:sz w:val="12"/>
                <w:szCs w:val="12"/>
              </w:rPr>
              <w:t>３１万</w:t>
            </w:r>
          </w:p>
        </w:tc>
      </w:tr>
      <w:tr w:rsidR="004A7AFA" w:rsidRPr="00131D1B" w:rsidTr="00C82BD6">
        <w:tc>
          <w:tcPr>
            <w:tcW w:w="1701" w:type="dxa"/>
            <w:tcBorders>
              <w:top w:val="dotted" w:sz="4" w:space="0" w:color="auto"/>
              <w:bottom w:val="dotted" w:sz="4" w:space="0" w:color="auto"/>
            </w:tcBorders>
          </w:tcPr>
          <w:p w:rsidR="004A7AFA" w:rsidRPr="00131D1B" w:rsidRDefault="00C82BD6" w:rsidP="00856292">
            <w:pPr>
              <w:pStyle w:val="a7"/>
              <w:ind w:leftChars="0" w:left="0"/>
              <w:rPr>
                <w:sz w:val="12"/>
                <w:szCs w:val="12"/>
              </w:rPr>
            </w:pPr>
            <w:r>
              <w:rPr>
                <w:rFonts w:hint="eastAsia"/>
                <w:sz w:val="12"/>
                <w:szCs w:val="12"/>
              </w:rPr>
              <w:t>９５万超１００万以下</w:t>
            </w:r>
          </w:p>
        </w:tc>
        <w:tc>
          <w:tcPr>
            <w:tcW w:w="709" w:type="dxa"/>
            <w:tcBorders>
              <w:top w:val="dotted" w:sz="4" w:space="0" w:color="auto"/>
              <w:bottom w:val="dotted" w:sz="4" w:space="0" w:color="auto"/>
            </w:tcBorders>
          </w:tcPr>
          <w:p w:rsidR="004A7AFA" w:rsidRPr="00131D1B" w:rsidRDefault="00C82BD6" w:rsidP="00C82BD6">
            <w:pPr>
              <w:pStyle w:val="a7"/>
              <w:ind w:leftChars="0" w:left="0"/>
              <w:jc w:val="center"/>
              <w:rPr>
                <w:sz w:val="12"/>
                <w:szCs w:val="12"/>
              </w:rPr>
            </w:pPr>
            <w:r>
              <w:rPr>
                <w:rFonts w:hint="eastAsia"/>
                <w:sz w:val="12"/>
                <w:szCs w:val="12"/>
              </w:rPr>
              <w:t>２６万</w:t>
            </w:r>
          </w:p>
        </w:tc>
      </w:tr>
      <w:tr w:rsidR="004A7AFA" w:rsidRPr="00131D1B" w:rsidTr="00C82BD6">
        <w:tc>
          <w:tcPr>
            <w:tcW w:w="1701" w:type="dxa"/>
            <w:tcBorders>
              <w:top w:val="dotted" w:sz="4" w:space="0" w:color="auto"/>
              <w:bottom w:val="dotted" w:sz="4" w:space="0" w:color="auto"/>
            </w:tcBorders>
          </w:tcPr>
          <w:p w:rsidR="004A7AFA" w:rsidRPr="00131D1B" w:rsidRDefault="00C82BD6" w:rsidP="00856292">
            <w:pPr>
              <w:pStyle w:val="a7"/>
              <w:ind w:leftChars="0" w:left="0"/>
              <w:rPr>
                <w:sz w:val="12"/>
                <w:szCs w:val="12"/>
              </w:rPr>
            </w:pPr>
            <w:r>
              <w:rPr>
                <w:rFonts w:hint="eastAsia"/>
                <w:sz w:val="12"/>
                <w:szCs w:val="12"/>
              </w:rPr>
              <w:t>１００万超１０５万以下</w:t>
            </w:r>
          </w:p>
        </w:tc>
        <w:tc>
          <w:tcPr>
            <w:tcW w:w="709" w:type="dxa"/>
            <w:tcBorders>
              <w:top w:val="dotted" w:sz="4" w:space="0" w:color="auto"/>
              <w:bottom w:val="dotted" w:sz="4" w:space="0" w:color="auto"/>
            </w:tcBorders>
          </w:tcPr>
          <w:p w:rsidR="004A7AFA" w:rsidRPr="00131D1B" w:rsidRDefault="00C82BD6" w:rsidP="00C82BD6">
            <w:pPr>
              <w:pStyle w:val="a7"/>
              <w:ind w:leftChars="0" w:left="0"/>
              <w:jc w:val="center"/>
              <w:rPr>
                <w:sz w:val="12"/>
                <w:szCs w:val="12"/>
              </w:rPr>
            </w:pPr>
            <w:r>
              <w:rPr>
                <w:rFonts w:hint="eastAsia"/>
                <w:sz w:val="12"/>
                <w:szCs w:val="12"/>
              </w:rPr>
              <w:t>２１万</w:t>
            </w:r>
          </w:p>
        </w:tc>
      </w:tr>
      <w:tr w:rsidR="004A7AFA" w:rsidRPr="00131D1B" w:rsidTr="00C82BD6">
        <w:tc>
          <w:tcPr>
            <w:tcW w:w="1701" w:type="dxa"/>
            <w:tcBorders>
              <w:top w:val="dotted" w:sz="4" w:space="0" w:color="auto"/>
              <w:bottom w:val="dotted" w:sz="4" w:space="0" w:color="auto"/>
            </w:tcBorders>
          </w:tcPr>
          <w:p w:rsidR="004A7AFA" w:rsidRPr="00131D1B" w:rsidRDefault="00C82BD6" w:rsidP="00856292">
            <w:pPr>
              <w:pStyle w:val="a7"/>
              <w:ind w:leftChars="0" w:left="0"/>
              <w:rPr>
                <w:sz w:val="12"/>
                <w:szCs w:val="12"/>
              </w:rPr>
            </w:pPr>
            <w:r>
              <w:rPr>
                <w:rFonts w:hint="eastAsia"/>
                <w:sz w:val="12"/>
                <w:szCs w:val="12"/>
              </w:rPr>
              <w:t>１０５万超１１０万以下</w:t>
            </w:r>
          </w:p>
        </w:tc>
        <w:tc>
          <w:tcPr>
            <w:tcW w:w="709" w:type="dxa"/>
            <w:tcBorders>
              <w:top w:val="dotted" w:sz="4" w:space="0" w:color="auto"/>
              <w:bottom w:val="dotted" w:sz="4" w:space="0" w:color="auto"/>
            </w:tcBorders>
          </w:tcPr>
          <w:p w:rsidR="004A7AFA" w:rsidRPr="00131D1B" w:rsidRDefault="00C82BD6" w:rsidP="00C82BD6">
            <w:pPr>
              <w:pStyle w:val="a7"/>
              <w:ind w:leftChars="0" w:left="0"/>
              <w:jc w:val="center"/>
              <w:rPr>
                <w:sz w:val="12"/>
                <w:szCs w:val="12"/>
              </w:rPr>
            </w:pPr>
            <w:r>
              <w:rPr>
                <w:rFonts w:hint="eastAsia"/>
                <w:sz w:val="12"/>
                <w:szCs w:val="12"/>
              </w:rPr>
              <w:t>１６万</w:t>
            </w:r>
          </w:p>
        </w:tc>
      </w:tr>
      <w:tr w:rsidR="004A7AFA" w:rsidRPr="00131D1B" w:rsidTr="00C82BD6">
        <w:tc>
          <w:tcPr>
            <w:tcW w:w="1701" w:type="dxa"/>
            <w:tcBorders>
              <w:top w:val="dotted" w:sz="4" w:space="0" w:color="auto"/>
              <w:bottom w:val="dotted" w:sz="4" w:space="0" w:color="auto"/>
            </w:tcBorders>
          </w:tcPr>
          <w:p w:rsidR="004A7AFA" w:rsidRPr="00131D1B" w:rsidRDefault="00C82BD6" w:rsidP="00856292">
            <w:pPr>
              <w:pStyle w:val="a7"/>
              <w:ind w:leftChars="0" w:left="0"/>
              <w:rPr>
                <w:sz w:val="12"/>
                <w:szCs w:val="12"/>
              </w:rPr>
            </w:pPr>
            <w:r>
              <w:rPr>
                <w:rFonts w:hint="eastAsia"/>
                <w:sz w:val="12"/>
                <w:szCs w:val="12"/>
              </w:rPr>
              <w:t>１１０万超１１５万以下</w:t>
            </w:r>
          </w:p>
        </w:tc>
        <w:tc>
          <w:tcPr>
            <w:tcW w:w="709" w:type="dxa"/>
            <w:tcBorders>
              <w:top w:val="dotted" w:sz="4" w:space="0" w:color="auto"/>
              <w:bottom w:val="dotted" w:sz="4" w:space="0" w:color="auto"/>
            </w:tcBorders>
          </w:tcPr>
          <w:p w:rsidR="004A7AFA" w:rsidRPr="00131D1B" w:rsidRDefault="00C82BD6" w:rsidP="00C82BD6">
            <w:pPr>
              <w:pStyle w:val="a7"/>
              <w:ind w:leftChars="0" w:left="0"/>
              <w:jc w:val="center"/>
              <w:rPr>
                <w:sz w:val="12"/>
                <w:szCs w:val="12"/>
              </w:rPr>
            </w:pPr>
            <w:r>
              <w:rPr>
                <w:rFonts w:hint="eastAsia"/>
                <w:sz w:val="12"/>
                <w:szCs w:val="12"/>
              </w:rPr>
              <w:t>１１万</w:t>
            </w:r>
          </w:p>
        </w:tc>
      </w:tr>
      <w:tr w:rsidR="004A7AFA" w:rsidRPr="00131D1B" w:rsidTr="00C82BD6">
        <w:tc>
          <w:tcPr>
            <w:tcW w:w="1701" w:type="dxa"/>
            <w:tcBorders>
              <w:top w:val="dotted" w:sz="4" w:space="0" w:color="auto"/>
              <w:bottom w:val="dotted" w:sz="4" w:space="0" w:color="auto"/>
            </w:tcBorders>
          </w:tcPr>
          <w:p w:rsidR="004A7AFA" w:rsidRPr="00131D1B" w:rsidRDefault="00C82BD6" w:rsidP="00856292">
            <w:pPr>
              <w:pStyle w:val="a7"/>
              <w:ind w:leftChars="0" w:left="0"/>
              <w:rPr>
                <w:sz w:val="12"/>
                <w:szCs w:val="12"/>
              </w:rPr>
            </w:pPr>
            <w:r>
              <w:rPr>
                <w:rFonts w:hint="eastAsia"/>
                <w:sz w:val="12"/>
                <w:szCs w:val="12"/>
              </w:rPr>
              <w:t>１１５万超１２０万以下</w:t>
            </w:r>
          </w:p>
        </w:tc>
        <w:tc>
          <w:tcPr>
            <w:tcW w:w="709" w:type="dxa"/>
            <w:tcBorders>
              <w:top w:val="dotted" w:sz="4" w:space="0" w:color="auto"/>
              <w:bottom w:val="dotted" w:sz="4" w:space="0" w:color="auto"/>
            </w:tcBorders>
          </w:tcPr>
          <w:p w:rsidR="004A7AFA" w:rsidRPr="00131D1B" w:rsidRDefault="00C82BD6" w:rsidP="00C82BD6">
            <w:pPr>
              <w:pStyle w:val="a7"/>
              <w:ind w:leftChars="0" w:left="0"/>
              <w:jc w:val="center"/>
              <w:rPr>
                <w:sz w:val="12"/>
                <w:szCs w:val="12"/>
              </w:rPr>
            </w:pPr>
            <w:r>
              <w:rPr>
                <w:rFonts w:hint="eastAsia"/>
                <w:sz w:val="12"/>
                <w:szCs w:val="12"/>
              </w:rPr>
              <w:t>６万</w:t>
            </w:r>
          </w:p>
        </w:tc>
      </w:tr>
      <w:tr w:rsidR="004A7AFA" w:rsidRPr="00131D1B" w:rsidTr="00C82BD6">
        <w:tc>
          <w:tcPr>
            <w:tcW w:w="1701" w:type="dxa"/>
            <w:tcBorders>
              <w:top w:val="dotted" w:sz="4" w:space="0" w:color="auto"/>
            </w:tcBorders>
          </w:tcPr>
          <w:p w:rsidR="004A7AFA" w:rsidRPr="00131D1B" w:rsidRDefault="00C82BD6" w:rsidP="00856292">
            <w:pPr>
              <w:pStyle w:val="a7"/>
              <w:ind w:leftChars="0" w:left="0"/>
              <w:rPr>
                <w:sz w:val="12"/>
                <w:szCs w:val="12"/>
              </w:rPr>
            </w:pPr>
            <w:r>
              <w:rPr>
                <w:rFonts w:hint="eastAsia"/>
                <w:sz w:val="12"/>
                <w:szCs w:val="12"/>
              </w:rPr>
              <w:t>１２０万超１２３万以下</w:t>
            </w:r>
          </w:p>
        </w:tc>
        <w:tc>
          <w:tcPr>
            <w:tcW w:w="709" w:type="dxa"/>
            <w:tcBorders>
              <w:top w:val="dotted" w:sz="4" w:space="0" w:color="auto"/>
            </w:tcBorders>
          </w:tcPr>
          <w:p w:rsidR="004A7AFA" w:rsidRPr="00131D1B" w:rsidRDefault="00C82BD6" w:rsidP="00C82BD6">
            <w:pPr>
              <w:pStyle w:val="a7"/>
              <w:ind w:leftChars="0" w:left="0"/>
              <w:jc w:val="center"/>
              <w:rPr>
                <w:sz w:val="12"/>
                <w:szCs w:val="12"/>
              </w:rPr>
            </w:pPr>
            <w:r>
              <w:rPr>
                <w:rFonts w:hint="eastAsia"/>
                <w:sz w:val="12"/>
                <w:szCs w:val="12"/>
              </w:rPr>
              <w:t>３万</w:t>
            </w:r>
          </w:p>
        </w:tc>
      </w:tr>
    </w:tbl>
    <w:p w:rsidR="00131D1B" w:rsidRPr="00131D1B" w:rsidRDefault="00131D1B" w:rsidP="00131D1B">
      <w:pPr>
        <w:spacing w:after="0"/>
        <w:rPr>
          <w:sz w:val="12"/>
          <w:szCs w:val="12"/>
        </w:rPr>
      </w:pPr>
      <w:r w:rsidRPr="00131D1B">
        <w:rPr>
          <w:rFonts w:hint="eastAsia"/>
          <w:sz w:val="12"/>
          <w:szCs w:val="12"/>
        </w:rPr>
        <w:t xml:space="preserve">　　　　</w:t>
      </w:r>
    </w:p>
    <w:p w:rsidR="00131D1B" w:rsidRPr="00131D1B" w:rsidRDefault="00131D1B" w:rsidP="00131D1B">
      <w:pPr>
        <w:spacing w:after="0"/>
        <w:ind w:firstLineChars="600" w:firstLine="720"/>
        <w:rPr>
          <w:sz w:val="12"/>
          <w:szCs w:val="12"/>
        </w:rPr>
      </w:pPr>
      <w:r w:rsidRPr="00131D1B">
        <w:rPr>
          <w:rFonts w:hint="eastAsia"/>
          <w:sz w:val="12"/>
          <w:szCs w:val="12"/>
        </w:rPr>
        <w:t>９００万円超９５０万円以下</w:t>
      </w:r>
    </w:p>
    <w:tbl>
      <w:tblPr>
        <w:tblStyle w:val="af6"/>
        <w:tblW w:w="2410" w:type="dxa"/>
        <w:tblInd w:w="704" w:type="dxa"/>
        <w:tblLook w:val="04A0" w:firstRow="1" w:lastRow="0" w:firstColumn="1" w:lastColumn="0" w:noHBand="0" w:noVBand="1"/>
      </w:tblPr>
      <w:tblGrid>
        <w:gridCol w:w="1701"/>
        <w:gridCol w:w="709"/>
      </w:tblGrid>
      <w:tr w:rsidR="00131D1B" w:rsidRPr="00131D1B" w:rsidTr="00C82BD6">
        <w:tc>
          <w:tcPr>
            <w:tcW w:w="1701" w:type="dxa"/>
            <w:tcBorders>
              <w:bottom w:val="single" w:sz="4" w:space="0" w:color="auto"/>
            </w:tcBorders>
          </w:tcPr>
          <w:p w:rsidR="00131D1B" w:rsidRPr="00131D1B" w:rsidRDefault="00C82BD6" w:rsidP="00C82BD6">
            <w:pPr>
              <w:pStyle w:val="a7"/>
              <w:ind w:leftChars="0" w:left="0"/>
              <w:jc w:val="center"/>
              <w:rPr>
                <w:sz w:val="12"/>
                <w:szCs w:val="12"/>
              </w:rPr>
            </w:pPr>
            <w:r>
              <w:rPr>
                <w:rFonts w:hint="eastAsia"/>
                <w:sz w:val="12"/>
                <w:szCs w:val="12"/>
              </w:rPr>
              <w:t>配偶者の合計所得金額</w:t>
            </w:r>
          </w:p>
        </w:tc>
        <w:tc>
          <w:tcPr>
            <w:tcW w:w="709" w:type="dxa"/>
            <w:tcBorders>
              <w:bottom w:val="single" w:sz="4" w:space="0" w:color="auto"/>
            </w:tcBorders>
          </w:tcPr>
          <w:p w:rsidR="00131D1B" w:rsidRPr="00131D1B" w:rsidRDefault="00C82BD6" w:rsidP="00602162">
            <w:pPr>
              <w:pStyle w:val="a7"/>
              <w:ind w:leftChars="0" w:left="0"/>
              <w:rPr>
                <w:sz w:val="12"/>
                <w:szCs w:val="12"/>
              </w:rPr>
            </w:pPr>
            <w:r>
              <w:rPr>
                <w:rFonts w:hint="eastAsia"/>
                <w:sz w:val="12"/>
                <w:szCs w:val="12"/>
              </w:rPr>
              <w:t>控除額</w:t>
            </w:r>
          </w:p>
        </w:tc>
      </w:tr>
      <w:tr w:rsidR="00C82BD6" w:rsidRPr="00131D1B" w:rsidTr="00C82BD6">
        <w:tc>
          <w:tcPr>
            <w:tcW w:w="1701" w:type="dxa"/>
            <w:tcBorders>
              <w:bottom w:val="dotted" w:sz="4" w:space="0" w:color="auto"/>
            </w:tcBorders>
          </w:tcPr>
          <w:p w:rsidR="00C82BD6" w:rsidRPr="00131D1B" w:rsidRDefault="00C82BD6" w:rsidP="00C82BD6">
            <w:pPr>
              <w:pStyle w:val="a7"/>
              <w:ind w:leftChars="0" w:left="0"/>
              <w:rPr>
                <w:sz w:val="12"/>
                <w:szCs w:val="12"/>
              </w:rPr>
            </w:pPr>
            <w:r w:rsidRPr="00131D1B">
              <w:rPr>
                <w:rFonts w:hint="eastAsia"/>
                <w:sz w:val="12"/>
                <w:szCs w:val="12"/>
              </w:rPr>
              <w:t>３８</w:t>
            </w:r>
            <w:r>
              <w:rPr>
                <w:rFonts w:hint="eastAsia"/>
                <w:sz w:val="12"/>
                <w:szCs w:val="12"/>
              </w:rPr>
              <w:t>万</w:t>
            </w:r>
            <w:r w:rsidRPr="00131D1B">
              <w:rPr>
                <w:rFonts w:hint="eastAsia"/>
                <w:sz w:val="12"/>
                <w:szCs w:val="12"/>
              </w:rPr>
              <w:t>超８５</w:t>
            </w:r>
            <w:r>
              <w:rPr>
                <w:rFonts w:hint="eastAsia"/>
                <w:sz w:val="12"/>
                <w:szCs w:val="12"/>
              </w:rPr>
              <w:t>万</w:t>
            </w:r>
            <w:r w:rsidRPr="00131D1B">
              <w:rPr>
                <w:rFonts w:hint="eastAsia"/>
                <w:sz w:val="12"/>
                <w:szCs w:val="12"/>
              </w:rPr>
              <w:t>以下</w:t>
            </w:r>
          </w:p>
        </w:tc>
        <w:tc>
          <w:tcPr>
            <w:tcW w:w="709" w:type="dxa"/>
            <w:tcBorders>
              <w:bottom w:val="dotted" w:sz="4" w:space="0" w:color="auto"/>
            </w:tcBorders>
          </w:tcPr>
          <w:p w:rsidR="00C82BD6" w:rsidRPr="00131D1B" w:rsidRDefault="00C82BD6" w:rsidP="00C82BD6">
            <w:pPr>
              <w:pStyle w:val="a7"/>
              <w:ind w:leftChars="0" w:left="0"/>
              <w:rPr>
                <w:sz w:val="12"/>
                <w:szCs w:val="12"/>
              </w:rPr>
            </w:pPr>
            <w:r>
              <w:rPr>
                <w:rFonts w:hint="eastAsia"/>
                <w:sz w:val="12"/>
                <w:szCs w:val="12"/>
              </w:rPr>
              <w:t>２６万</w:t>
            </w:r>
          </w:p>
        </w:tc>
      </w:tr>
      <w:tr w:rsidR="00C82BD6" w:rsidRPr="00131D1B" w:rsidTr="00C82BD6">
        <w:tc>
          <w:tcPr>
            <w:tcW w:w="1701" w:type="dxa"/>
            <w:tcBorders>
              <w:top w:val="dotted" w:sz="4" w:space="0" w:color="auto"/>
              <w:bottom w:val="dotted" w:sz="4" w:space="0" w:color="auto"/>
            </w:tcBorders>
          </w:tcPr>
          <w:p w:rsidR="00C82BD6" w:rsidRPr="00131D1B" w:rsidRDefault="00C82BD6" w:rsidP="00C82BD6">
            <w:pPr>
              <w:pStyle w:val="a7"/>
              <w:ind w:leftChars="0" w:left="0"/>
              <w:rPr>
                <w:sz w:val="12"/>
                <w:szCs w:val="12"/>
              </w:rPr>
            </w:pPr>
            <w:r>
              <w:rPr>
                <w:rFonts w:hint="eastAsia"/>
                <w:sz w:val="12"/>
                <w:szCs w:val="12"/>
              </w:rPr>
              <w:t>８５万超９０万以下</w:t>
            </w:r>
          </w:p>
        </w:tc>
        <w:tc>
          <w:tcPr>
            <w:tcW w:w="709" w:type="dxa"/>
            <w:tcBorders>
              <w:top w:val="dotted" w:sz="4" w:space="0" w:color="auto"/>
              <w:bottom w:val="dotted" w:sz="4" w:space="0" w:color="auto"/>
            </w:tcBorders>
          </w:tcPr>
          <w:p w:rsidR="00C82BD6" w:rsidRPr="00131D1B" w:rsidRDefault="00C82BD6" w:rsidP="00C82BD6">
            <w:pPr>
              <w:pStyle w:val="a7"/>
              <w:ind w:leftChars="0" w:left="0"/>
              <w:rPr>
                <w:sz w:val="12"/>
                <w:szCs w:val="12"/>
              </w:rPr>
            </w:pPr>
            <w:r>
              <w:rPr>
                <w:rFonts w:hint="eastAsia"/>
                <w:sz w:val="12"/>
                <w:szCs w:val="12"/>
              </w:rPr>
              <w:t>２４万</w:t>
            </w:r>
          </w:p>
        </w:tc>
      </w:tr>
      <w:tr w:rsidR="00C82BD6" w:rsidRPr="00131D1B" w:rsidTr="00C82BD6">
        <w:tc>
          <w:tcPr>
            <w:tcW w:w="1701" w:type="dxa"/>
            <w:tcBorders>
              <w:top w:val="dotted" w:sz="4" w:space="0" w:color="auto"/>
              <w:bottom w:val="dotted" w:sz="4" w:space="0" w:color="auto"/>
            </w:tcBorders>
          </w:tcPr>
          <w:p w:rsidR="00C82BD6" w:rsidRPr="00131D1B" w:rsidRDefault="00C82BD6" w:rsidP="00C82BD6">
            <w:pPr>
              <w:pStyle w:val="a7"/>
              <w:ind w:leftChars="0" w:left="0"/>
              <w:rPr>
                <w:sz w:val="12"/>
                <w:szCs w:val="12"/>
              </w:rPr>
            </w:pPr>
            <w:r>
              <w:rPr>
                <w:rFonts w:hint="eastAsia"/>
                <w:sz w:val="12"/>
                <w:szCs w:val="12"/>
              </w:rPr>
              <w:t>９０万超９５万以下</w:t>
            </w:r>
          </w:p>
        </w:tc>
        <w:tc>
          <w:tcPr>
            <w:tcW w:w="709" w:type="dxa"/>
            <w:tcBorders>
              <w:top w:val="dotted" w:sz="4" w:space="0" w:color="auto"/>
              <w:bottom w:val="dotted" w:sz="4" w:space="0" w:color="auto"/>
            </w:tcBorders>
          </w:tcPr>
          <w:p w:rsidR="00C82BD6" w:rsidRPr="00131D1B" w:rsidRDefault="00C82BD6" w:rsidP="00C82BD6">
            <w:pPr>
              <w:pStyle w:val="a7"/>
              <w:ind w:leftChars="0" w:left="0"/>
              <w:rPr>
                <w:sz w:val="12"/>
                <w:szCs w:val="12"/>
              </w:rPr>
            </w:pPr>
            <w:r>
              <w:rPr>
                <w:rFonts w:hint="eastAsia"/>
                <w:sz w:val="12"/>
                <w:szCs w:val="12"/>
              </w:rPr>
              <w:t>２１万</w:t>
            </w:r>
          </w:p>
        </w:tc>
      </w:tr>
      <w:tr w:rsidR="00C82BD6" w:rsidRPr="00131D1B" w:rsidTr="00C82BD6">
        <w:tc>
          <w:tcPr>
            <w:tcW w:w="1701" w:type="dxa"/>
            <w:tcBorders>
              <w:top w:val="dotted" w:sz="4" w:space="0" w:color="auto"/>
              <w:bottom w:val="dotted" w:sz="4" w:space="0" w:color="auto"/>
            </w:tcBorders>
          </w:tcPr>
          <w:p w:rsidR="00C82BD6" w:rsidRPr="00131D1B" w:rsidRDefault="00C82BD6" w:rsidP="00C82BD6">
            <w:pPr>
              <w:pStyle w:val="a7"/>
              <w:ind w:leftChars="0" w:left="0"/>
              <w:rPr>
                <w:sz w:val="12"/>
                <w:szCs w:val="12"/>
              </w:rPr>
            </w:pPr>
            <w:r>
              <w:rPr>
                <w:rFonts w:hint="eastAsia"/>
                <w:sz w:val="12"/>
                <w:szCs w:val="12"/>
              </w:rPr>
              <w:t>９５万超１００万以下</w:t>
            </w:r>
          </w:p>
        </w:tc>
        <w:tc>
          <w:tcPr>
            <w:tcW w:w="709" w:type="dxa"/>
            <w:tcBorders>
              <w:top w:val="dotted" w:sz="4" w:space="0" w:color="auto"/>
              <w:bottom w:val="dotted" w:sz="4" w:space="0" w:color="auto"/>
            </w:tcBorders>
          </w:tcPr>
          <w:p w:rsidR="00C82BD6" w:rsidRPr="00131D1B" w:rsidRDefault="00C82BD6" w:rsidP="00C82BD6">
            <w:pPr>
              <w:pStyle w:val="a7"/>
              <w:ind w:leftChars="0" w:left="0"/>
              <w:rPr>
                <w:sz w:val="12"/>
                <w:szCs w:val="12"/>
              </w:rPr>
            </w:pPr>
            <w:r>
              <w:rPr>
                <w:rFonts w:hint="eastAsia"/>
                <w:sz w:val="12"/>
                <w:szCs w:val="12"/>
              </w:rPr>
              <w:t>１８万</w:t>
            </w:r>
          </w:p>
        </w:tc>
      </w:tr>
      <w:tr w:rsidR="00C82BD6" w:rsidRPr="00131D1B" w:rsidTr="00C82BD6">
        <w:tc>
          <w:tcPr>
            <w:tcW w:w="1701" w:type="dxa"/>
            <w:tcBorders>
              <w:top w:val="dotted" w:sz="4" w:space="0" w:color="auto"/>
              <w:bottom w:val="dotted" w:sz="4" w:space="0" w:color="auto"/>
            </w:tcBorders>
          </w:tcPr>
          <w:p w:rsidR="00C82BD6" w:rsidRPr="00131D1B" w:rsidRDefault="00C82BD6" w:rsidP="00C82BD6">
            <w:pPr>
              <w:pStyle w:val="a7"/>
              <w:ind w:leftChars="0" w:left="0"/>
              <w:rPr>
                <w:sz w:val="12"/>
                <w:szCs w:val="12"/>
              </w:rPr>
            </w:pPr>
            <w:r>
              <w:rPr>
                <w:rFonts w:hint="eastAsia"/>
                <w:sz w:val="12"/>
                <w:szCs w:val="12"/>
              </w:rPr>
              <w:t>１００万超１０５万以下</w:t>
            </w:r>
          </w:p>
        </w:tc>
        <w:tc>
          <w:tcPr>
            <w:tcW w:w="709" w:type="dxa"/>
            <w:tcBorders>
              <w:top w:val="dotted" w:sz="4" w:space="0" w:color="auto"/>
              <w:bottom w:val="dotted" w:sz="4" w:space="0" w:color="auto"/>
            </w:tcBorders>
          </w:tcPr>
          <w:p w:rsidR="00C82BD6" w:rsidRPr="00131D1B" w:rsidRDefault="00C82BD6" w:rsidP="00C82BD6">
            <w:pPr>
              <w:pStyle w:val="a7"/>
              <w:ind w:leftChars="0" w:left="0"/>
              <w:rPr>
                <w:sz w:val="12"/>
                <w:szCs w:val="12"/>
              </w:rPr>
            </w:pPr>
            <w:r>
              <w:rPr>
                <w:rFonts w:hint="eastAsia"/>
                <w:sz w:val="12"/>
                <w:szCs w:val="12"/>
              </w:rPr>
              <w:t>１４万</w:t>
            </w:r>
          </w:p>
        </w:tc>
      </w:tr>
      <w:tr w:rsidR="00C82BD6" w:rsidRPr="00131D1B" w:rsidTr="00C82BD6">
        <w:tc>
          <w:tcPr>
            <w:tcW w:w="1701" w:type="dxa"/>
            <w:tcBorders>
              <w:top w:val="dotted" w:sz="4" w:space="0" w:color="auto"/>
              <w:bottom w:val="dotted" w:sz="4" w:space="0" w:color="auto"/>
            </w:tcBorders>
          </w:tcPr>
          <w:p w:rsidR="00C82BD6" w:rsidRPr="00131D1B" w:rsidRDefault="00C82BD6" w:rsidP="00C82BD6">
            <w:pPr>
              <w:pStyle w:val="a7"/>
              <w:ind w:leftChars="0" w:left="0"/>
              <w:rPr>
                <w:sz w:val="12"/>
                <w:szCs w:val="12"/>
              </w:rPr>
            </w:pPr>
            <w:r>
              <w:rPr>
                <w:rFonts w:hint="eastAsia"/>
                <w:sz w:val="12"/>
                <w:szCs w:val="12"/>
              </w:rPr>
              <w:t>１０５万超１１０万以下</w:t>
            </w:r>
          </w:p>
        </w:tc>
        <w:tc>
          <w:tcPr>
            <w:tcW w:w="709" w:type="dxa"/>
            <w:tcBorders>
              <w:top w:val="dotted" w:sz="4" w:space="0" w:color="auto"/>
              <w:bottom w:val="dotted" w:sz="4" w:space="0" w:color="auto"/>
            </w:tcBorders>
          </w:tcPr>
          <w:p w:rsidR="00C82BD6" w:rsidRPr="00131D1B" w:rsidRDefault="00C82BD6" w:rsidP="00C82BD6">
            <w:pPr>
              <w:pStyle w:val="a7"/>
              <w:ind w:leftChars="0" w:left="0"/>
              <w:rPr>
                <w:sz w:val="12"/>
                <w:szCs w:val="12"/>
              </w:rPr>
            </w:pPr>
            <w:r>
              <w:rPr>
                <w:rFonts w:hint="eastAsia"/>
                <w:sz w:val="12"/>
                <w:szCs w:val="12"/>
              </w:rPr>
              <w:t>１１万</w:t>
            </w:r>
          </w:p>
        </w:tc>
      </w:tr>
      <w:tr w:rsidR="00C82BD6" w:rsidRPr="00131D1B" w:rsidTr="00C82BD6">
        <w:tc>
          <w:tcPr>
            <w:tcW w:w="1701" w:type="dxa"/>
            <w:tcBorders>
              <w:top w:val="dotted" w:sz="4" w:space="0" w:color="auto"/>
              <w:bottom w:val="dotted" w:sz="4" w:space="0" w:color="auto"/>
            </w:tcBorders>
          </w:tcPr>
          <w:p w:rsidR="00C82BD6" w:rsidRPr="00131D1B" w:rsidRDefault="00C82BD6" w:rsidP="00C82BD6">
            <w:pPr>
              <w:pStyle w:val="a7"/>
              <w:ind w:leftChars="0" w:left="0"/>
              <w:rPr>
                <w:sz w:val="12"/>
                <w:szCs w:val="12"/>
              </w:rPr>
            </w:pPr>
            <w:r>
              <w:rPr>
                <w:rFonts w:hint="eastAsia"/>
                <w:sz w:val="12"/>
                <w:szCs w:val="12"/>
              </w:rPr>
              <w:t>１１０万超１１５万以下</w:t>
            </w:r>
          </w:p>
        </w:tc>
        <w:tc>
          <w:tcPr>
            <w:tcW w:w="709" w:type="dxa"/>
            <w:tcBorders>
              <w:top w:val="dotted" w:sz="4" w:space="0" w:color="auto"/>
              <w:bottom w:val="dotted" w:sz="4" w:space="0" w:color="auto"/>
            </w:tcBorders>
          </w:tcPr>
          <w:p w:rsidR="00C82BD6" w:rsidRPr="00131D1B" w:rsidRDefault="00C82BD6" w:rsidP="00C82BD6">
            <w:pPr>
              <w:pStyle w:val="a7"/>
              <w:ind w:leftChars="0" w:left="0"/>
              <w:rPr>
                <w:sz w:val="12"/>
                <w:szCs w:val="12"/>
              </w:rPr>
            </w:pPr>
            <w:r>
              <w:rPr>
                <w:rFonts w:hint="eastAsia"/>
                <w:sz w:val="12"/>
                <w:szCs w:val="12"/>
              </w:rPr>
              <w:t>８万</w:t>
            </w:r>
          </w:p>
        </w:tc>
      </w:tr>
      <w:tr w:rsidR="00C82BD6" w:rsidRPr="00131D1B" w:rsidTr="00C82BD6">
        <w:tc>
          <w:tcPr>
            <w:tcW w:w="1701" w:type="dxa"/>
            <w:tcBorders>
              <w:top w:val="dotted" w:sz="4" w:space="0" w:color="auto"/>
              <w:bottom w:val="dotted" w:sz="4" w:space="0" w:color="auto"/>
            </w:tcBorders>
          </w:tcPr>
          <w:p w:rsidR="00C82BD6" w:rsidRPr="00131D1B" w:rsidRDefault="00C82BD6" w:rsidP="00C82BD6">
            <w:pPr>
              <w:pStyle w:val="a7"/>
              <w:ind w:leftChars="0" w:left="0"/>
              <w:rPr>
                <w:sz w:val="12"/>
                <w:szCs w:val="12"/>
              </w:rPr>
            </w:pPr>
            <w:r>
              <w:rPr>
                <w:rFonts w:hint="eastAsia"/>
                <w:sz w:val="12"/>
                <w:szCs w:val="12"/>
              </w:rPr>
              <w:t>１１５万超１２０万以下</w:t>
            </w:r>
          </w:p>
        </w:tc>
        <w:tc>
          <w:tcPr>
            <w:tcW w:w="709" w:type="dxa"/>
            <w:tcBorders>
              <w:top w:val="dotted" w:sz="4" w:space="0" w:color="auto"/>
              <w:bottom w:val="dotted" w:sz="4" w:space="0" w:color="auto"/>
            </w:tcBorders>
          </w:tcPr>
          <w:p w:rsidR="00C82BD6" w:rsidRPr="00131D1B" w:rsidRDefault="00C82BD6" w:rsidP="00C82BD6">
            <w:pPr>
              <w:pStyle w:val="a7"/>
              <w:ind w:leftChars="0" w:left="0"/>
              <w:rPr>
                <w:sz w:val="12"/>
                <w:szCs w:val="12"/>
              </w:rPr>
            </w:pPr>
            <w:r>
              <w:rPr>
                <w:rFonts w:hint="eastAsia"/>
                <w:sz w:val="12"/>
                <w:szCs w:val="12"/>
              </w:rPr>
              <w:t>４万</w:t>
            </w:r>
          </w:p>
        </w:tc>
      </w:tr>
      <w:tr w:rsidR="00C82BD6" w:rsidRPr="00131D1B" w:rsidTr="00C82BD6">
        <w:tc>
          <w:tcPr>
            <w:tcW w:w="1701" w:type="dxa"/>
            <w:tcBorders>
              <w:top w:val="dotted" w:sz="4" w:space="0" w:color="auto"/>
            </w:tcBorders>
          </w:tcPr>
          <w:p w:rsidR="00C82BD6" w:rsidRPr="00131D1B" w:rsidRDefault="00C82BD6" w:rsidP="00C82BD6">
            <w:pPr>
              <w:pStyle w:val="a7"/>
              <w:ind w:leftChars="0" w:left="0"/>
              <w:rPr>
                <w:sz w:val="12"/>
                <w:szCs w:val="12"/>
              </w:rPr>
            </w:pPr>
            <w:r>
              <w:rPr>
                <w:rFonts w:hint="eastAsia"/>
                <w:sz w:val="12"/>
                <w:szCs w:val="12"/>
              </w:rPr>
              <w:t>１２０万超１２３万以下</w:t>
            </w:r>
          </w:p>
        </w:tc>
        <w:tc>
          <w:tcPr>
            <w:tcW w:w="709" w:type="dxa"/>
            <w:tcBorders>
              <w:top w:val="dotted" w:sz="4" w:space="0" w:color="auto"/>
            </w:tcBorders>
          </w:tcPr>
          <w:p w:rsidR="00C82BD6" w:rsidRPr="00131D1B" w:rsidRDefault="00C82BD6" w:rsidP="00C82BD6">
            <w:pPr>
              <w:pStyle w:val="a7"/>
              <w:ind w:leftChars="0" w:left="0"/>
              <w:rPr>
                <w:sz w:val="12"/>
                <w:szCs w:val="12"/>
              </w:rPr>
            </w:pPr>
            <w:r>
              <w:rPr>
                <w:rFonts w:hint="eastAsia"/>
                <w:sz w:val="12"/>
                <w:szCs w:val="12"/>
              </w:rPr>
              <w:t>２万</w:t>
            </w:r>
          </w:p>
        </w:tc>
      </w:tr>
    </w:tbl>
    <w:p w:rsidR="00131D1B" w:rsidRPr="00131D1B" w:rsidRDefault="00131D1B" w:rsidP="00131D1B">
      <w:pPr>
        <w:spacing w:after="0"/>
        <w:rPr>
          <w:sz w:val="12"/>
          <w:szCs w:val="12"/>
        </w:rPr>
      </w:pPr>
      <w:r w:rsidRPr="00131D1B">
        <w:rPr>
          <w:rFonts w:hint="eastAsia"/>
          <w:sz w:val="12"/>
          <w:szCs w:val="12"/>
        </w:rPr>
        <w:t xml:space="preserve">　　　　</w:t>
      </w:r>
    </w:p>
    <w:p w:rsidR="00F327A6" w:rsidRPr="00131D1B" w:rsidRDefault="00131D1B" w:rsidP="00131D1B">
      <w:pPr>
        <w:spacing w:after="0"/>
        <w:ind w:firstLineChars="600" w:firstLine="720"/>
        <w:rPr>
          <w:sz w:val="12"/>
          <w:szCs w:val="12"/>
        </w:rPr>
      </w:pPr>
      <w:r w:rsidRPr="00131D1B">
        <w:rPr>
          <w:rFonts w:hint="eastAsia"/>
          <w:sz w:val="12"/>
          <w:szCs w:val="12"/>
        </w:rPr>
        <w:t>９５０万円超１，０００万円以下</w:t>
      </w:r>
    </w:p>
    <w:tbl>
      <w:tblPr>
        <w:tblStyle w:val="af6"/>
        <w:tblW w:w="2410" w:type="dxa"/>
        <w:tblInd w:w="704" w:type="dxa"/>
        <w:tblLook w:val="04A0" w:firstRow="1" w:lastRow="0" w:firstColumn="1" w:lastColumn="0" w:noHBand="0" w:noVBand="1"/>
      </w:tblPr>
      <w:tblGrid>
        <w:gridCol w:w="1701"/>
        <w:gridCol w:w="709"/>
      </w:tblGrid>
      <w:tr w:rsidR="00131D1B" w:rsidRPr="00131D1B" w:rsidTr="00C82BD6">
        <w:tc>
          <w:tcPr>
            <w:tcW w:w="1701" w:type="dxa"/>
            <w:tcBorders>
              <w:bottom w:val="single" w:sz="4" w:space="0" w:color="auto"/>
            </w:tcBorders>
          </w:tcPr>
          <w:p w:rsidR="00131D1B" w:rsidRPr="00131D1B" w:rsidRDefault="00C82BD6" w:rsidP="00C82BD6">
            <w:pPr>
              <w:pStyle w:val="a7"/>
              <w:ind w:leftChars="0" w:left="0"/>
              <w:jc w:val="center"/>
              <w:rPr>
                <w:sz w:val="12"/>
                <w:szCs w:val="12"/>
              </w:rPr>
            </w:pPr>
            <w:r>
              <w:rPr>
                <w:rFonts w:hint="eastAsia"/>
                <w:sz w:val="12"/>
                <w:szCs w:val="12"/>
              </w:rPr>
              <w:t>配偶者の合計所得金額</w:t>
            </w:r>
          </w:p>
        </w:tc>
        <w:tc>
          <w:tcPr>
            <w:tcW w:w="709" w:type="dxa"/>
            <w:tcBorders>
              <w:bottom w:val="single" w:sz="4" w:space="0" w:color="auto"/>
            </w:tcBorders>
          </w:tcPr>
          <w:p w:rsidR="00131D1B" w:rsidRPr="00131D1B" w:rsidRDefault="00C82BD6" w:rsidP="00C82BD6">
            <w:pPr>
              <w:pStyle w:val="a7"/>
              <w:ind w:leftChars="0" w:left="0"/>
              <w:jc w:val="center"/>
              <w:rPr>
                <w:sz w:val="12"/>
                <w:szCs w:val="12"/>
              </w:rPr>
            </w:pPr>
            <w:r>
              <w:rPr>
                <w:rFonts w:hint="eastAsia"/>
                <w:sz w:val="12"/>
                <w:szCs w:val="12"/>
              </w:rPr>
              <w:t>控除額</w:t>
            </w:r>
          </w:p>
        </w:tc>
      </w:tr>
      <w:tr w:rsidR="00C82BD6" w:rsidRPr="00131D1B" w:rsidTr="00C82BD6">
        <w:tc>
          <w:tcPr>
            <w:tcW w:w="1701" w:type="dxa"/>
            <w:tcBorders>
              <w:bottom w:val="dotted" w:sz="4" w:space="0" w:color="auto"/>
            </w:tcBorders>
          </w:tcPr>
          <w:p w:rsidR="00C82BD6" w:rsidRPr="00131D1B" w:rsidRDefault="00C82BD6" w:rsidP="00602162">
            <w:pPr>
              <w:pStyle w:val="a7"/>
              <w:ind w:leftChars="0" w:left="0"/>
              <w:rPr>
                <w:sz w:val="12"/>
                <w:szCs w:val="12"/>
              </w:rPr>
            </w:pPr>
            <w:r w:rsidRPr="00131D1B">
              <w:rPr>
                <w:rFonts w:hint="eastAsia"/>
                <w:sz w:val="12"/>
                <w:szCs w:val="12"/>
              </w:rPr>
              <w:t>３８</w:t>
            </w:r>
            <w:r>
              <w:rPr>
                <w:rFonts w:hint="eastAsia"/>
                <w:sz w:val="12"/>
                <w:szCs w:val="12"/>
              </w:rPr>
              <w:t>万</w:t>
            </w:r>
            <w:r w:rsidRPr="00131D1B">
              <w:rPr>
                <w:rFonts w:hint="eastAsia"/>
                <w:sz w:val="12"/>
                <w:szCs w:val="12"/>
              </w:rPr>
              <w:t>超８５</w:t>
            </w:r>
            <w:r>
              <w:rPr>
                <w:rFonts w:hint="eastAsia"/>
                <w:sz w:val="12"/>
                <w:szCs w:val="12"/>
              </w:rPr>
              <w:t>万</w:t>
            </w:r>
            <w:r w:rsidRPr="00131D1B">
              <w:rPr>
                <w:rFonts w:hint="eastAsia"/>
                <w:sz w:val="12"/>
                <w:szCs w:val="12"/>
              </w:rPr>
              <w:t>以下</w:t>
            </w:r>
          </w:p>
        </w:tc>
        <w:tc>
          <w:tcPr>
            <w:tcW w:w="709" w:type="dxa"/>
            <w:tcBorders>
              <w:bottom w:val="dotted" w:sz="4" w:space="0" w:color="auto"/>
            </w:tcBorders>
          </w:tcPr>
          <w:p w:rsidR="00C82BD6" w:rsidRPr="00131D1B" w:rsidRDefault="00C82BD6" w:rsidP="00C82BD6">
            <w:pPr>
              <w:pStyle w:val="a7"/>
              <w:ind w:leftChars="0" w:left="0"/>
              <w:jc w:val="center"/>
              <w:rPr>
                <w:sz w:val="12"/>
                <w:szCs w:val="12"/>
              </w:rPr>
            </w:pPr>
            <w:r>
              <w:rPr>
                <w:rFonts w:hint="eastAsia"/>
                <w:sz w:val="12"/>
                <w:szCs w:val="12"/>
              </w:rPr>
              <w:t>１３万</w:t>
            </w:r>
          </w:p>
        </w:tc>
      </w:tr>
      <w:tr w:rsidR="00C82BD6" w:rsidRPr="00131D1B" w:rsidTr="00C82BD6">
        <w:tc>
          <w:tcPr>
            <w:tcW w:w="1701" w:type="dxa"/>
            <w:tcBorders>
              <w:top w:val="dotted" w:sz="4" w:space="0" w:color="auto"/>
              <w:bottom w:val="dotted" w:sz="4" w:space="0" w:color="auto"/>
            </w:tcBorders>
          </w:tcPr>
          <w:p w:rsidR="00C82BD6" w:rsidRPr="00131D1B" w:rsidRDefault="00C82BD6" w:rsidP="00602162">
            <w:pPr>
              <w:pStyle w:val="a7"/>
              <w:ind w:leftChars="0" w:left="0"/>
              <w:rPr>
                <w:sz w:val="12"/>
                <w:szCs w:val="12"/>
              </w:rPr>
            </w:pPr>
            <w:r>
              <w:rPr>
                <w:rFonts w:hint="eastAsia"/>
                <w:sz w:val="12"/>
                <w:szCs w:val="12"/>
              </w:rPr>
              <w:t>８５万超９０万以下</w:t>
            </w:r>
          </w:p>
        </w:tc>
        <w:tc>
          <w:tcPr>
            <w:tcW w:w="709" w:type="dxa"/>
            <w:tcBorders>
              <w:top w:val="dotted" w:sz="4" w:space="0" w:color="auto"/>
              <w:bottom w:val="dotted" w:sz="4" w:space="0" w:color="auto"/>
            </w:tcBorders>
          </w:tcPr>
          <w:p w:rsidR="00C82BD6" w:rsidRPr="00131D1B" w:rsidRDefault="00C82BD6" w:rsidP="00C82BD6">
            <w:pPr>
              <w:pStyle w:val="a7"/>
              <w:ind w:leftChars="0" w:left="0"/>
              <w:jc w:val="center"/>
              <w:rPr>
                <w:sz w:val="12"/>
                <w:szCs w:val="12"/>
              </w:rPr>
            </w:pPr>
            <w:r>
              <w:rPr>
                <w:rFonts w:hint="eastAsia"/>
                <w:sz w:val="12"/>
                <w:szCs w:val="12"/>
              </w:rPr>
              <w:t>１２万</w:t>
            </w:r>
          </w:p>
        </w:tc>
      </w:tr>
      <w:tr w:rsidR="00C82BD6" w:rsidRPr="00131D1B" w:rsidTr="00C82BD6">
        <w:tc>
          <w:tcPr>
            <w:tcW w:w="1701" w:type="dxa"/>
            <w:tcBorders>
              <w:top w:val="dotted" w:sz="4" w:space="0" w:color="auto"/>
              <w:bottom w:val="dotted" w:sz="4" w:space="0" w:color="auto"/>
            </w:tcBorders>
          </w:tcPr>
          <w:p w:rsidR="00C82BD6" w:rsidRPr="00131D1B" w:rsidRDefault="00C82BD6" w:rsidP="00602162">
            <w:pPr>
              <w:pStyle w:val="a7"/>
              <w:ind w:leftChars="0" w:left="0"/>
              <w:rPr>
                <w:sz w:val="12"/>
                <w:szCs w:val="12"/>
              </w:rPr>
            </w:pPr>
            <w:r>
              <w:rPr>
                <w:rFonts w:hint="eastAsia"/>
                <w:sz w:val="12"/>
                <w:szCs w:val="12"/>
              </w:rPr>
              <w:t>９０万超９５万以下</w:t>
            </w:r>
          </w:p>
        </w:tc>
        <w:tc>
          <w:tcPr>
            <w:tcW w:w="709" w:type="dxa"/>
            <w:tcBorders>
              <w:top w:val="dotted" w:sz="4" w:space="0" w:color="auto"/>
              <w:bottom w:val="dotted" w:sz="4" w:space="0" w:color="auto"/>
            </w:tcBorders>
          </w:tcPr>
          <w:p w:rsidR="00C82BD6" w:rsidRPr="00131D1B" w:rsidRDefault="00C82BD6" w:rsidP="00C82BD6">
            <w:pPr>
              <w:pStyle w:val="a7"/>
              <w:ind w:leftChars="0" w:left="0"/>
              <w:jc w:val="center"/>
              <w:rPr>
                <w:sz w:val="12"/>
                <w:szCs w:val="12"/>
              </w:rPr>
            </w:pPr>
            <w:r>
              <w:rPr>
                <w:rFonts w:hint="eastAsia"/>
                <w:sz w:val="12"/>
                <w:szCs w:val="12"/>
              </w:rPr>
              <w:t>１１万</w:t>
            </w:r>
          </w:p>
        </w:tc>
      </w:tr>
      <w:tr w:rsidR="00C82BD6" w:rsidRPr="00131D1B" w:rsidTr="00C82BD6">
        <w:tc>
          <w:tcPr>
            <w:tcW w:w="1701" w:type="dxa"/>
            <w:tcBorders>
              <w:top w:val="dotted" w:sz="4" w:space="0" w:color="auto"/>
              <w:bottom w:val="dotted" w:sz="4" w:space="0" w:color="auto"/>
            </w:tcBorders>
          </w:tcPr>
          <w:p w:rsidR="00C82BD6" w:rsidRPr="00131D1B" w:rsidRDefault="00C82BD6" w:rsidP="00602162">
            <w:pPr>
              <w:pStyle w:val="a7"/>
              <w:ind w:leftChars="0" w:left="0"/>
              <w:rPr>
                <w:sz w:val="12"/>
                <w:szCs w:val="12"/>
              </w:rPr>
            </w:pPr>
            <w:r>
              <w:rPr>
                <w:rFonts w:hint="eastAsia"/>
                <w:sz w:val="12"/>
                <w:szCs w:val="12"/>
              </w:rPr>
              <w:t>９５万超１００万以下</w:t>
            </w:r>
          </w:p>
        </w:tc>
        <w:tc>
          <w:tcPr>
            <w:tcW w:w="709" w:type="dxa"/>
            <w:tcBorders>
              <w:top w:val="dotted" w:sz="4" w:space="0" w:color="auto"/>
              <w:bottom w:val="dotted" w:sz="4" w:space="0" w:color="auto"/>
            </w:tcBorders>
          </w:tcPr>
          <w:p w:rsidR="00C82BD6" w:rsidRPr="00131D1B" w:rsidRDefault="00C82BD6" w:rsidP="00C82BD6">
            <w:pPr>
              <w:pStyle w:val="a7"/>
              <w:ind w:leftChars="0" w:left="0"/>
              <w:jc w:val="center"/>
              <w:rPr>
                <w:sz w:val="12"/>
                <w:szCs w:val="12"/>
              </w:rPr>
            </w:pPr>
            <w:r>
              <w:rPr>
                <w:rFonts w:hint="eastAsia"/>
                <w:sz w:val="12"/>
                <w:szCs w:val="12"/>
              </w:rPr>
              <w:t>９万</w:t>
            </w:r>
          </w:p>
        </w:tc>
      </w:tr>
      <w:tr w:rsidR="00C82BD6" w:rsidRPr="00131D1B" w:rsidTr="00C82BD6">
        <w:tc>
          <w:tcPr>
            <w:tcW w:w="1701" w:type="dxa"/>
            <w:tcBorders>
              <w:top w:val="dotted" w:sz="4" w:space="0" w:color="auto"/>
              <w:bottom w:val="dotted" w:sz="4" w:space="0" w:color="auto"/>
            </w:tcBorders>
          </w:tcPr>
          <w:p w:rsidR="00C82BD6" w:rsidRPr="00131D1B" w:rsidRDefault="00C82BD6" w:rsidP="00602162">
            <w:pPr>
              <w:pStyle w:val="a7"/>
              <w:ind w:leftChars="0" w:left="0"/>
              <w:rPr>
                <w:sz w:val="12"/>
                <w:szCs w:val="12"/>
              </w:rPr>
            </w:pPr>
            <w:r>
              <w:rPr>
                <w:rFonts w:hint="eastAsia"/>
                <w:sz w:val="12"/>
                <w:szCs w:val="12"/>
              </w:rPr>
              <w:t>１００万超１０５万以下</w:t>
            </w:r>
          </w:p>
        </w:tc>
        <w:tc>
          <w:tcPr>
            <w:tcW w:w="709" w:type="dxa"/>
            <w:tcBorders>
              <w:top w:val="dotted" w:sz="4" w:space="0" w:color="auto"/>
              <w:bottom w:val="dotted" w:sz="4" w:space="0" w:color="auto"/>
            </w:tcBorders>
          </w:tcPr>
          <w:p w:rsidR="00C82BD6" w:rsidRPr="00131D1B" w:rsidRDefault="00C82BD6" w:rsidP="00C82BD6">
            <w:pPr>
              <w:pStyle w:val="a7"/>
              <w:ind w:leftChars="0" w:left="0"/>
              <w:jc w:val="center"/>
              <w:rPr>
                <w:sz w:val="12"/>
                <w:szCs w:val="12"/>
              </w:rPr>
            </w:pPr>
            <w:r>
              <w:rPr>
                <w:rFonts w:hint="eastAsia"/>
                <w:sz w:val="12"/>
                <w:szCs w:val="12"/>
              </w:rPr>
              <w:t>７万</w:t>
            </w:r>
          </w:p>
        </w:tc>
      </w:tr>
      <w:tr w:rsidR="00C82BD6" w:rsidRPr="00131D1B" w:rsidTr="00C82BD6">
        <w:tc>
          <w:tcPr>
            <w:tcW w:w="1701" w:type="dxa"/>
            <w:tcBorders>
              <w:top w:val="dotted" w:sz="4" w:space="0" w:color="auto"/>
              <w:bottom w:val="dotted" w:sz="4" w:space="0" w:color="auto"/>
            </w:tcBorders>
          </w:tcPr>
          <w:p w:rsidR="00C82BD6" w:rsidRPr="00131D1B" w:rsidRDefault="00C82BD6" w:rsidP="00602162">
            <w:pPr>
              <w:pStyle w:val="a7"/>
              <w:ind w:leftChars="0" w:left="0"/>
              <w:rPr>
                <w:sz w:val="12"/>
                <w:szCs w:val="12"/>
              </w:rPr>
            </w:pPr>
            <w:r>
              <w:rPr>
                <w:rFonts w:hint="eastAsia"/>
                <w:sz w:val="12"/>
                <w:szCs w:val="12"/>
              </w:rPr>
              <w:t>１０５万超１１０万以下</w:t>
            </w:r>
          </w:p>
        </w:tc>
        <w:tc>
          <w:tcPr>
            <w:tcW w:w="709" w:type="dxa"/>
            <w:tcBorders>
              <w:top w:val="dotted" w:sz="4" w:space="0" w:color="auto"/>
              <w:bottom w:val="dotted" w:sz="4" w:space="0" w:color="auto"/>
            </w:tcBorders>
          </w:tcPr>
          <w:p w:rsidR="00C82BD6" w:rsidRPr="00131D1B" w:rsidRDefault="00C82BD6" w:rsidP="00C82BD6">
            <w:pPr>
              <w:pStyle w:val="a7"/>
              <w:ind w:leftChars="0" w:left="0"/>
              <w:jc w:val="center"/>
              <w:rPr>
                <w:sz w:val="12"/>
                <w:szCs w:val="12"/>
              </w:rPr>
            </w:pPr>
            <w:r>
              <w:rPr>
                <w:rFonts w:hint="eastAsia"/>
                <w:sz w:val="12"/>
                <w:szCs w:val="12"/>
              </w:rPr>
              <w:t>６万</w:t>
            </w:r>
          </w:p>
        </w:tc>
      </w:tr>
      <w:tr w:rsidR="00C82BD6" w:rsidRPr="00131D1B" w:rsidTr="00C82BD6">
        <w:tc>
          <w:tcPr>
            <w:tcW w:w="1701" w:type="dxa"/>
            <w:tcBorders>
              <w:top w:val="dotted" w:sz="4" w:space="0" w:color="auto"/>
              <w:bottom w:val="dotted" w:sz="4" w:space="0" w:color="auto"/>
            </w:tcBorders>
          </w:tcPr>
          <w:p w:rsidR="00C82BD6" w:rsidRPr="00131D1B" w:rsidRDefault="00C82BD6" w:rsidP="00602162">
            <w:pPr>
              <w:pStyle w:val="a7"/>
              <w:ind w:leftChars="0" w:left="0"/>
              <w:rPr>
                <w:sz w:val="12"/>
                <w:szCs w:val="12"/>
              </w:rPr>
            </w:pPr>
            <w:r>
              <w:rPr>
                <w:rFonts w:hint="eastAsia"/>
                <w:sz w:val="12"/>
                <w:szCs w:val="12"/>
              </w:rPr>
              <w:t>１１０万超１１５万以下</w:t>
            </w:r>
          </w:p>
        </w:tc>
        <w:tc>
          <w:tcPr>
            <w:tcW w:w="709" w:type="dxa"/>
            <w:tcBorders>
              <w:top w:val="dotted" w:sz="4" w:space="0" w:color="auto"/>
              <w:bottom w:val="dotted" w:sz="4" w:space="0" w:color="auto"/>
            </w:tcBorders>
          </w:tcPr>
          <w:p w:rsidR="00C82BD6" w:rsidRPr="00131D1B" w:rsidRDefault="00C82BD6" w:rsidP="00C82BD6">
            <w:pPr>
              <w:pStyle w:val="a7"/>
              <w:ind w:leftChars="0" w:left="0"/>
              <w:jc w:val="center"/>
              <w:rPr>
                <w:sz w:val="12"/>
                <w:szCs w:val="12"/>
              </w:rPr>
            </w:pPr>
            <w:r>
              <w:rPr>
                <w:rFonts w:hint="eastAsia"/>
                <w:sz w:val="12"/>
                <w:szCs w:val="12"/>
              </w:rPr>
              <w:t>４万</w:t>
            </w:r>
          </w:p>
        </w:tc>
      </w:tr>
      <w:tr w:rsidR="00C82BD6" w:rsidRPr="00131D1B" w:rsidTr="00C82BD6">
        <w:tc>
          <w:tcPr>
            <w:tcW w:w="1701" w:type="dxa"/>
            <w:tcBorders>
              <w:top w:val="dotted" w:sz="4" w:space="0" w:color="auto"/>
              <w:bottom w:val="dotted" w:sz="4" w:space="0" w:color="auto"/>
            </w:tcBorders>
          </w:tcPr>
          <w:p w:rsidR="00C82BD6" w:rsidRPr="00131D1B" w:rsidRDefault="00C82BD6" w:rsidP="00602162">
            <w:pPr>
              <w:pStyle w:val="a7"/>
              <w:ind w:leftChars="0" w:left="0"/>
              <w:rPr>
                <w:sz w:val="12"/>
                <w:szCs w:val="12"/>
              </w:rPr>
            </w:pPr>
            <w:r>
              <w:rPr>
                <w:rFonts w:hint="eastAsia"/>
                <w:sz w:val="12"/>
                <w:szCs w:val="12"/>
              </w:rPr>
              <w:t>１１５万超１２０万以下</w:t>
            </w:r>
          </w:p>
        </w:tc>
        <w:tc>
          <w:tcPr>
            <w:tcW w:w="709" w:type="dxa"/>
            <w:tcBorders>
              <w:top w:val="dotted" w:sz="4" w:space="0" w:color="auto"/>
              <w:bottom w:val="dotted" w:sz="4" w:space="0" w:color="auto"/>
            </w:tcBorders>
          </w:tcPr>
          <w:p w:rsidR="00C82BD6" w:rsidRPr="00131D1B" w:rsidRDefault="00C82BD6" w:rsidP="00C82BD6">
            <w:pPr>
              <w:pStyle w:val="a7"/>
              <w:ind w:leftChars="0" w:left="0"/>
              <w:jc w:val="center"/>
              <w:rPr>
                <w:sz w:val="12"/>
                <w:szCs w:val="12"/>
              </w:rPr>
            </w:pPr>
            <w:r>
              <w:rPr>
                <w:rFonts w:hint="eastAsia"/>
                <w:sz w:val="12"/>
                <w:szCs w:val="12"/>
              </w:rPr>
              <w:t>２万</w:t>
            </w:r>
          </w:p>
        </w:tc>
      </w:tr>
      <w:tr w:rsidR="00C82BD6" w:rsidRPr="00131D1B" w:rsidTr="00C82BD6">
        <w:tc>
          <w:tcPr>
            <w:tcW w:w="1701" w:type="dxa"/>
            <w:tcBorders>
              <w:top w:val="dotted" w:sz="4" w:space="0" w:color="auto"/>
            </w:tcBorders>
          </w:tcPr>
          <w:p w:rsidR="00C82BD6" w:rsidRPr="00131D1B" w:rsidRDefault="00C82BD6" w:rsidP="00602162">
            <w:pPr>
              <w:pStyle w:val="a7"/>
              <w:ind w:leftChars="0" w:left="0"/>
              <w:rPr>
                <w:sz w:val="12"/>
                <w:szCs w:val="12"/>
              </w:rPr>
            </w:pPr>
            <w:r>
              <w:rPr>
                <w:rFonts w:hint="eastAsia"/>
                <w:sz w:val="12"/>
                <w:szCs w:val="12"/>
              </w:rPr>
              <w:t>１２０万超１２３万以下</w:t>
            </w:r>
          </w:p>
        </w:tc>
        <w:tc>
          <w:tcPr>
            <w:tcW w:w="709" w:type="dxa"/>
            <w:tcBorders>
              <w:top w:val="dotted" w:sz="4" w:space="0" w:color="auto"/>
            </w:tcBorders>
          </w:tcPr>
          <w:p w:rsidR="00C82BD6" w:rsidRPr="00131D1B" w:rsidRDefault="00C82BD6" w:rsidP="00C82BD6">
            <w:pPr>
              <w:pStyle w:val="a7"/>
              <w:ind w:leftChars="0" w:left="0"/>
              <w:jc w:val="center"/>
              <w:rPr>
                <w:sz w:val="12"/>
                <w:szCs w:val="12"/>
              </w:rPr>
            </w:pPr>
            <w:r>
              <w:rPr>
                <w:rFonts w:hint="eastAsia"/>
                <w:sz w:val="12"/>
                <w:szCs w:val="12"/>
              </w:rPr>
              <w:t>１万</w:t>
            </w:r>
          </w:p>
        </w:tc>
      </w:tr>
    </w:tbl>
    <w:p w:rsidR="00131D1B" w:rsidRPr="00131D1B" w:rsidRDefault="00131D1B" w:rsidP="00131D1B">
      <w:pPr>
        <w:spacing w:after="0"/>
        <w:rPr>
          <w:sz w:val="18"/>
          <w:szCs w:val="18"/>
        </w:rPr>
        <w:sectPr w:rsidR="00131D1B" w:rsidRPr="00131D1B" w:rsidSect="00A72DBD">
          <w:type w:val="continuous"/>
          <w:pgSz w:w="11906" w:h="16838"/>
          <w:pgMar w:top="1134" w:right="1134" w:bottom="1134" w:left="1134" w:header="851" w:footer="992" w:gutter="0"/>
          <w:pgBorders w:offsetFrom="page">
            <w:top w:val="thinThickThinSmallGap" w:sz="24" w:space="24" w:color="1F3864" w:themeColor="accent5" w:themeShade="80" w:shadow="1"/>
            <w:left w:val="thinThickThinSmallGap" w:sz="24" w:space="24" w:color="1F3864" w:themeColor="accent5" w:themeShade="80" w:shadow="1"/>
            <w:bottom w:val="thinThickThinSmallGap" w:sz="24" w:space="24" w:color="1F3864" w:themeColor="accent5" w:themeShade="80" w:shadow="1"/>
            <w:right w:val="thinThickThinSmallGap" w:sz="24" w:space="24" w:color="1F3864" w:themeColor="accent5" w:themeShade="80" w:shadow="1"/>
          </w:pgBorders>
          <w:cols w:num="3" w:space="110"/>
          <w:docGrid w:type="lines" w:linePitch="360"/>
        </w:sectPr>
      </w:pPr>
    </w:p>
    <w:p w:rsidR="006368C5" w:rsidRDefault="006368C5" w:rsidP="00AC1FB4">
      <w:pPr>
        <w:pStyle w:val="a7"/>
        <w:numPr>
          <w:ilvl w:val="0"/>
          <w:numId w:val="1"/>
        </w:numPr>
        <w:spacing w:after="0"/>
        <w:ind w:leftChars="0"/>
        <w:rPr>
          <w:sz w:val="18"/>
          <w:szCs w:val="18"/>
        </w:rPr>
      </w:pPr>
      <w:r w:rsidRPr="00131D1B">
        <w:rPr>
          <w:rFonts w:hint="eastAsia"/>
          <w:sz w:val="18"/>
          <w:szCs w:val="18"/>
        </w:rPr>
        <w:t>金融・証券税制</w:t>
      </w:r>
    </w:p>
    <w:p w:rsidR="00515432" w:rsidRDefault="00515432" w:rsidP="00515432">
      <w:pPr>
        <w:pStyle w:val="a7"/>
        <w:numPr>
          <w:ilvl w:val="0"/>
          <w:numId w:val="8"/>
        </w:numPr>
        <w:spacing w:after="0"/>
        <w:ind w:leftChars="0"/>
        <w:rPr>
          <w:sz w:val="18"/>
          <w:szCs w:val="18"/>
        </w:rPr>
      </w:pPr>
      <w:r>
        <w:rPr>
          <w:rFonts w:hint="eastAsia"/>
          <w:sz w:val="18"/>
          <w:szCs w:val="18"/>
        </w:rPr>
        <w:t>現行ＮＩＳＡと</w:t>
      </w:r>
      <w:r w:rsidR="002C4B29">
        <w:rPr>
          <w:rFonts w:hint="eastAsia"/>
          <w:sz w:val="18"/>
          <w:szCs w:val="18"/>
        </w:rPr>
        <w:t>選択制の積立型ＮＩＳＡの創設</w:t>
      </w:r>
    </w:p>
    <w:p w:rsidR="00E07F49" w:rsidRDefault="002C4B29" w:rsidP="00E07F49">
      <w:pPr>
        <w:pStyle w:val="a7"/>
        <w:spacing w:after="0"/>
        <w:ind w:leftChars="0" w:left="640"/>
        <w:rPr>
          <w:sz w:val="18"/>
          <w:szCs w:val="18"/>
        </w:rPr>
      </w:pPr>
      <w:r>
        <w:rPr>
          <w:rFonts w:hint="eastAsia"/>
          <w:sz w:val="18"/>
          <w:szCs w:val="18"/>
        </w:rPr>
        <w:t>株式投資信託の配当等や公募等株式投資信託の譲渡益が、口座開設をした年の１月１日以後２０年間非課税とされる。</w:t>
      </w:r>
    </w:p>
    <w:p w:rsidR="006B0DE8" w:rsidRDefault="006B0DE8" w:rsidP="00E07F49">
      <w:pPr>
        <w:pStyle w:val="a7"/>
        <w:spacing w:after="0"/>
        <w:ind w:leftChars="0" w:left="640"/>
        <w:rPr>
          <w:sz w:val="18"/>
          <w:szCs w:val="18"/>
        </w:rPr>
      </w:pPr>
    </w:p>
    <w:p w:rsidR="006B0DE8" w:rsidRPr="00E07F49" w:rsidRDefault="006B0DE8" w:rsidP="00E07F49">
      <w:pPr>
        <w:pStyle w:val="a7"/>
        <w:spacing w:after="0"/>
        <w:ind w:leftChars="0" w:left="640"/>
        <w:rPr>
          <w:sz w:val="18"/>
          <w:szCs w:val="18"/>
        </w:rPr>
      </w:pPr>
    </w:p>
    <w:p w:rsidR="002C4B29" w:rsidRDefault="00E07F49" w:rsidP="00515432">
      <w:pPr>
        <w:pStyle w:val="a7"/>
        <w:numPr>
          <w:ilvl w:val="0"/>
          <w:numId w:val="8"/>
        </w:numPr>
        <w:spacing w:after="0"/>
        <w:ind w:leftChars="0"/>
        <w:rPr>
          <w:sz w:val="18"/>
          <w:szCs w:val="18"/>
        </w:rPr>
      </w:pPr>
      <w:r>
        <w:rPr>
          <w:rFonts w:hint="eastAsia"/>
          <w:sz w:val="18"/>
          <w:szCs w:val="18"/>
        </w:rPr>
        <w:lastRenderedPageBreak/>
        <w:t>ロールオーバー時の上限額の撤廃</w:t>
      </w:r>
    </w:p>
    <w:p w:rsidR="00E07F49" w:rsidRDefault="00E07F49" w:rsidP="00E07F49">
      <w:pPr>
        <w:pStyle w:val="a7"/>
        <w:spacing w:after="0"/>
        <w:ind w:leftChars="0" w:left="640"/>
        <w:rPr>
          <w:sz w:val="18"/>
          <w:szCs w:val="18"/>
        </w:rPr>
      </w:pPr>
      <w:r>
        <w:rPr>
          <w:rFonts w:hint="eastAsia"/>
          <w:sz w:val="18"/>
          <w:szCs w:val="18"/>
        </w:rPr>
        <w:t>非課税期間が終了したＮＩＳＡ口座から翌年分のＮＩＳＡ口座に株式等を移管する際、年間投資上限額（１２０万円）にかかわらず、ロールオーバーを可能とする。</w:t>
      </w:r>
    </w:p>
    <w:p w:rsidR="00D25E7E" w:rsidRDefault="00AC604D" w:rsidP="00D25E7E">
      <w:pPr>
        <w:pStyle w:val="a7"/>
        <w:spacing w:after="0" w:line="240" w:lineRule="auto"/>
        <w:ind w:leftChars="0" w:left="420"/>
        <w:rPr>
          <w:color w:val="2F5496" w:themeColor="accent5" w:themeShade="BF"/>
          <w:sz w:val="18"/>
          <w:szCs w:val="18"/>
        </w:rPr>
      </w:pPr>
      <w:r>
        <w:rPr>
          <w:rFonts w:hint="eastAsia"/>
          <w:color w:val="2F5496" w:themeColor="accent5" w:themeShade="BF"/>
          <w:sz w:val="18"/>
          <w:szCs w:val="18"/>
        </w:rPr>
        <w:t>適用時期：平成３１</w:t>
      </w:r>
      <w:r w:rsidR="00D25E7E" w:rsidRPr="00621A34">
        <w:rPr>
          <w:rFonts w:hint="eastAsia"/>
          <w:color w:val="2F5496" w:themeColor="accent5" w:themeShade="BF"/>
          <w:sz w:val="18"/>
          <w:szCs w:val="18"/>
        </w:rPr>
        <w:t>年分以後</w:t>
      </w:r>
    </w:p>
    <w:p w:rsidR="00D25E7E" w:rsidRPr="00131D1B" w:rsidRDefault="00D25E7E" w:rsidP="00D25E7E">
      <w:pPr>
        <w:pStyle w:val="a7"/>
        <w:spacing w:after="0" w:line="240" w:lineRule="auto"/>
        <w:ind w:leftChars="0" w:left="420"/>
        <w:rPr>
          <w:sz w:val="18"/>
          <w:szCs w:val="18"/>
        </w:rPr>
      </w:pPr>
    </w:p>
    <w:p w:rsidR="006368C5" w:rsidRPr="00131D1B" w:rsidRDefault="006368C5" w:rsidP="00AC1FB4">
      <w:pPr>
        <w:pStyle w:val="a7"/>
        <w:numPr>
          <w:ilvl w:val="0"/>
          <w:numId w:val="1"/>
        </w:numPr>
        <w:spacing w:after="0"/>
        <w:ind w:leftChars="0"/>
        <w:rPr>
          <w:sz w:val="18"/>
          <w:szCs w:val="18"/>
        </w:rPr>
      </w:pPr>
      <w:r w:rsidRPr="00131D1B">
        <w:rPr>
          <w:rFonts w:hint="eastAsia"/>
          <w:sz w:val="18"/>
          <w:szCs w:val="18"/>
        </w:rPr>
        <w:t>住宅・土地税制</w:t>
      </w:r>
    </w:p>
    <w:p w:rsidR="00146591" w:rsidRDefault="00146591" w:rsidP="00146591">
      <w:pPr>
        <w:pStyle w:val="a7"/>
        <w:numPr>
          <w:ilvl w:val="0"/>
          <w:numId w:val="8"/>
        </w:numPr>
        <w:spacing w:after="0"/>
        <w:ind w:leftChars="0"/>
        <w:rPr>
          <w:sz w:val="18"/>
          <w:szCs w:val="18"/>
        </w:rPr>
      </w:pPr>
      <w:r>
        <w:rPr>
          <w:rFonts w:hint="eastAsia"/>
          <w:sz w:val="18"/>
          <w:szCs w:val="18"/>
        </w:rPr>
        <w:t>特定の増改築等に係る住宅ローン控除の拡充</w:t>
      </w:r>
      <w:r w:rsidR="00845532">
        <w:rPr>
          <w:rFonts w:hint="eastAsia"/>
          <w:sz w:val="18"/>
          <w:szCs w:val="18"/>
        </w:rPr>
        <w:t>（借入金あり）</w:t>
      </w:r>
    </w:p>
    <w:p w:rsidR="00012789" w:rsidRDefault="00012789" w:rsidP="00012789">
      <w:pPr>
        <w:pStyle w:val="a7"/>
        <w:spacing w:after="0"/>
        <w:ind w:leftChars="0" w:left="640"/>
        <w:rPr>
          <w:sz w:val="18"/>
          <w:szCs w:val="18"/>
        </w:rPr>
      </w:pPr>
      <w:r>
        <w:rPr>
          <w:rFonts w:hint="eastAsia"/>
          <w:sz w:val="18"/>
          <w:szCs w:val="18"/>
        </w:rPr>
        <w:t>本特例の適用対象となる工事に、特定の省エネ改修工事と併せて行う一定の耐久性向上改修工事を追加し、２％の税額控除の対象となる借入金等の範囲に、特定の省エネ改修工事と併せて行う一定の耐久性向上改修工事費用に係る借入金等を追加する。</w:t>
      </w:r>
    </w:p>
    <w:p w:rsidR="00AC604D" w:rsidRDefault="00AC604D" w:rsidP="00AC604D">
      <w:pPr>
        <w:spacing w:after="0" w:line="240" w:lineRule="auto"/>
        <w:ind w:left="220" w:firstLineChars="100" w:firstLine="180"/>
        <w:rPr>
          <w:color w:val="2F5496" w:themeColor="accent5" w:themeShade="BF"/>
          <w:sz w:val="18"/>
          <w:szCs w:val="18"/>
        </w:rPr>
      </w:pPr>
      <w:r>
        <w:rPr>
          <w:rFonts w:hint="eastAsia"/>
          <w:color w:val="2F5496" w:themeColor="accent5" w:themeShade="BF"/>
          <w:sz w:val="18"/>
          <w:szCs w:val="18"/>
        </w:rPr>
        <w:t>適用時期：平成２９年４</w:t>
      </w:r>
      <w:r w:rsidRPr="00621A34">
        <w:rPr>
          <w:rFonts w:hint="eastAsia"/>
          <w:color w:val="2F5496" w:themeColor="accent5" w:themeShade="BF"/>
          <w:sz w:val="18"/>
          <w:szCs w:val="18"/>
        </w:rPr>
        <w:t>月１日以後に</w:t>
      </w:r>
      <w:r>
        <w:rPr>
          <w:rFonts w:hint="eastAsia"/>
          <w:color w:val="2F5496" w:themeColor="accent5" w:themeShade="BF"/>
          <w:sz w:val="18"/>
          <w:szCs w:val="18"/>
        </w:rPr>
        <w:t>居住用家屋を自己の居住の用に供する場合について</w:t>
      </w:r>
      <w:r w:rsidRPr="00621A34">
        <w:rPr>
          <w:rFonts w:hint="eastAsia"/>
          <w:color w:val="2F5496" w:themeColor="accent5" w:themeShade="BF"/>
          <w:sz w:val="18"/>
          <w:szCs w:val="18"/>
        </w:rPr>
        <w:t>適用</w:t>
      </w:r>
    </w:p>
    <w:p w:rsidR="00146591" w:rsidRDefault="00B72FDA" w:rsidP="00146591">
      <w:pPr>
        <w:pStyle w:val="a7"/>
        <w:numPr>
          <w:ilvl w:val="0"/>
          <w:numId w:val="8"/>
        </w:numPr>
        <w:spacing w:after="0"/>
        <w:ind w:leftChars="0"/>
        <w:rPr>
          <w:sz w:val="18"/>
          <w:szCs w:val="18"/>
        </w:rPr>
      </w:pPr>
      <w:r>
        <w:rPr>
          <w:rFonts w:hint="eastAsia"/>
          <w:sz w:val="18"/>
          <w:szCs w:val="18"/>
        </w:rPr>
        <w:t>既存住宅に係る特定の改修工事をした場合の税額控除の拡充</w:t>
      </w:r>
      <w:r w:rsidR="00845532">
        <w:rPr>
          <w:rFonts w:hint="eastAsia"/>
          <w:sz w:val="18"/>
          <w:szCs w:val="18"/>
        </w:rPr>
        <w:t>（借入金なし）</w:t>
      </w:r>
    </w:p>
    <w:p w:rsidR="00012789" w:rsidRDefault="00845532" w:rsidP="00012789">
      <w:pPr>
        <w:pStyle w:val="a7"/>
        <w:spacing w:after="0"/>
        <w:ind w:leftChars="0" w:left="640"/>
        <w:rPr>
          <w:sz w:val="18"/>
          <w:szCs w:val="18"/>
        </w:rPr>
      </w:pPr>
      <w:r>
        <w:rPr>
          <w:rFonts w:hint="eastAsia"/>
          <w:sz w:val="18"/>
          <w:szCs w:val="18"/>
        </w:rPr>
        <w:t>本特例の適用対象となる工事に、耐震改修工事又は省エネ改修工事と併せて行う一定の耐久性向上改修工事を追加し、控除額を両方の標準的な工事費用相当額の合計額の１０％とする。</w:t>
      </w:r>
    </w:p>
    <w:p w:rsidR="000D3826" w:rsidRDefault="000D3826" w:rsidP="000D3826">
      <w:pPr>
        <w:spacing w:after="0" w:line="240" w:lineRule="auto"/>
        <w:ind w:left="220" w:firstLineChars="100" w:firstLine="180"/>
        <w:rPr>
          <w:color w:val="2F5496" w:themeColor="accent5" w:themeShade="BF"/>
          <w:sz w:val="18"/>
          <w:szCs w:val="18"/>
        </w:rPr>
      </w:pPr>
      <w:r>
        <w:rPr>
          <w:rFonts w:hint="eastAsia"/>
          <w:color w:val="2F5496" w:themeColor="accent5" w:themeShade="BF"/>
          <w:sz w:val="18"/>
          <w:szCs w:val="18"/>
        </w:rPr>
        <w:t>適用時期：平成２９年４</w:t>
      </w:r>
      <w:r w:rsidRPr="00621A34">
        <w:rPr>
          <w:rFonts w:hint="eastAsia"/>
          <w:color w:val="2F5496" w:themeColor="accent5" w:themeShade="BF"/>
          <w:sz w:val="18"/>
          <w:szCs w:val="18"/>
        </w:rPr>
        <w:t>月１日以後に</w:t>
      </w:r>
      <w:r>
        <w:rPr>
          <w:rFonts w:hint="eastAsia"/>
          <w:color w:val="2F5496" w:themeColor="accent5" w:themeShade="BF"/>
          <w:sz w:val="18"/>
          <w:szCs w:val="18"/>
        </w:rPr>
        <w:t>居住用家屋を自己の居住の用に供する場合について</w:t>
      </w:r>
      <w:r w:rsidRPr="00621A34">
        <w:rPr>
          <w:rFonts w:hint="eastAsia"/>
          <w:color w:val="2F5496" w:themeColor="accent5" w:themeShade="BF"/>
          <w:sz w:val="18"/>
          <w:szCs w:val="18"/>
        </w:rPr>
        <w:t>適用</w:t>
      </w:r>
    </w:p>
    <w:p w:rsidR="00845532" w:rsidRDefault="00DD601D" w:rsidP="00845532">
      <w:pPr>
        <w:pStyle w:val="a7"/>
        <w:numPr>
          <w:ilvl w:val="0"/>
          <w:numId w:val="8"/>
        </w:numPr>
        <w:spacing w:after="0"/>
        <w:ind w:leftChars="0"/>
        <w:rPr>
          <w:sz w:val="18"/>
          <w:szCs w:val="18"/>
        </w:rPr>
      </w:pPr>
      <w:r>
        <w:rPr>
          <w:rFonts w:hint="eastAsia"/>
          <w:sz w:val="18"/>
          <w:szCs w:val="18"/>
        </w:rPr>
        <w:t>省エネ改修工事の範囲の拡大</w:t>
      </w:r>
    </w:p>
    <w:p w:rsidR="00DD601D" w:rsidRDefault="00DD601D" w:rsidP="00DD601D">
      <w:pPr>
        <w:pStyle w:val="a7"/>
        <w:spacing w:after="0"/>
        <w:ind w:leftChars="0" w:left="640"/>
        <w:rPr>
          <w:sz w:val="18"/>
          <w:szCs w:val="18"/>
        </w:rPr>
      </w:pPr>
      <w:r>
        <w:rPr>
          <w:rFonts w:hint="eastAsia"/>
          <w:sz w:val="18"/>
          <w:szCs w:val="18"/>
        </w:rPr>
        <w:t>住宅ローン控除、特定の増改築等に係る住宅ローン控除及び既存住宅に係る特定の改修工事をした場合の税額控除の対象となる省エネ改修工事に、居室の窓の断熱改修工事で一定の要件を満たすものを追加する。</w:t>
      </w:r>
    </w:p>
    <w:p w:rsidR="00845532" w:rsidRPr="00845532" w:rsidRDefault="00DD601D" w:rsidP="00845532">
      <w:pPr>
        <w:pStyle w:val="a7"/>
        <w:numPr>
          <w:ilvl w:val="0"/>
          <w:numId w:val="8"/>
        </w:numPr>
        <w:spacing w:after="0"/>
        <w:ind w:leftChars="0"/>
        <w:rPr>
          <w:sz w:val="18"/>
          <w:szCs w:val="18"/>
        </w:rPr>
      </w:pPr>
      <w:r>
        <w:rPr>
          <w:rFonts w:hint="eastAsia"/>
          <w:sz w:val="18"/>
          <w:szCs w:val="18"/>
        </w:rPr>
        <w:t>優良住宅地の造成等のために土地等を譲渡した場合の長期譲渡所得の課税の特例の適用期限を３年延長</w:t>
      </w:r>
    </w:p>
    <w:p w:rsidR="00B72FDA" w:rsidRDefault="00DD601D" w:rsidP="00146591">
      <w:pPr>
        <w:pStyle w:val="a7"/>
        <w:numPr>
          <w:ilvl w:val="0"/>
          <w:numId w:val="8"/>
        </w:numPr>
        <w:spacing w:after="0"/>
        <w:ind w:leftChars="0"/>
        <w:rPr>
          <w:sz w:val="18"/>
          <w:szCs w:val="18"/>
        </w:rPr>
      </w:pPr>
      <w:r>
        <w:rPr>
          <w:rFonts w:hint="eastAsia"/>
          <w:sz w:val="18"/>
          <w:szCs w:val="18"/>
        </w:rPr>
        <w:t>住宅ローン控除の対象となる借入金の要件緩和</w:t>
      </w:r>
    </w:p>
    <w:p w:rsidR="00DD601D" w:rsidRDefault="004843CC" w:rsidP="00DD601D">
      <w:pPr>
        <w:pStyle w:val="a7"/>
        <w:spacing w:after="0"/>
        <w:ind w:leftChars="0" w:left="640"/>
        <w:rPr>
          <w:sz w:val="18"/>
          <w:szCs w:val="18"/>
        </w:rPr>
      </w:pPr>
      <w:r>
        <w:rPr>
          <w:rFonts w:hint="eastAsia"/>
          <w:sz w:val="18"/>
          <w:szCs w:val="18"/>
        </w:rPr>
        <w:t>住宅ローン控除等の対象とならない使用者からの借入金の利率を、現行１％未満から０．２％未満に引き下げる。</w:t>
      </w:r>
    </w:p>
    <w:p w:rsidR="004843CC" w:rsidRDefault="004843CC" w:rsidP="004843CC">
      <w:pPr>
        <w:spacing w:after="0" w:line="240" w:lineRule="auto"/>
        <w:ind w:left="220" w:firstLineChars="100" w:firstLine="180"/>
        <w:rPr>
          <w:color w:val="2F5496" w:themeColor="accent5" w:themeShade="BF"/>
          <w:sz w:val="18"/>
          <w:szCs w:val="18"/>
        </w:rPr>
      </w:pPr>
      <w:r w:rsidRPr="00621A34">
        <w:rPr>
          <w:rFonts w:hint="eastAsia"/>
          <w:color w:val="2F5496" w:themeColor="accent5" w:themeShade="BF"/>
          <w:sz w:val="18"/>
          <w:szCs w:val="18"/>
        </w:rPr>
        <w:t>適用時期：平成２９年１月１日以後に</w:t>
      </w:r>
      <w:r>
        <w:rPr>
          <w:rFonts w:hint="eastAsia"/>
          <w:color w:val="2F5496" w:themeColor="accent5" w:themeShade="BF"/>
          <w:sz w:val="18"/>
          <w:szCs w:val="18"/>
        </w:rPr>
        <w:t>居住用家屋を自己の居住の用に供する場合について</w:t>
      </w:r>
      <w:r w:rsidRPr="00621A34">
        <w:rPr>
          <w:rFonts w:hint="eastAsia"/>
          <w:color w:val="2F5496" w:themeColor="accent5" w:themeShade="BF"/>
          <w:sz w:val="18"/>
          <w:szCs w:val="18"/>
        </w:rPr>
        <w:t>適用</w:t>
      </w:r>
    </w:p>
    <w:p w:rsidR="004843CC" w:rsidRPr="00621A34" w:rsidRDefault="004843CC" w:rsidP="004843CC">
      <w:pPr>
        <w:spacing w:after="0" w:line="240" w:lineRule="auto"/>
        <w:ind w:left="220" w:firstLineChars="100" w:firstLine="180"/>
        <w:rPr>
          <w:color w:val="2F5496" w:themeColor="accent5" w:themeShade="BF"/>
          <w:sz w:val="18"/>
          <w:szCs w:val="18"/>
        </w:rPr>
      </w:pPr>
    </w:p>
    <w:p w:rsidR="006368C5" w:rsidRPr="00131D1B" w:rsidRDefault="006368C5" w:rsidP="00AC1FB4">
      <w:pPr>
        <w:pStyle w:val="a7"/>
        <w:numPr>
          <w:ilvl w:val="0"/>
          <w:numId w:val="1"/>
        </w:numPr>
        <w:spacing w:after="0"/>
        <w:ind w:leftChars="0"/>
        <w:rPr>
          <w:sz w:val="18"/>
          <w:szCs w:val="18"/>
        </w:rPr>
      </w:pPr>
      <w:r w:rsidRPr="00131D1B">
        <w:rPr>
          <w:rFonts w:hint="eastAsia"/>
          <w:sz w:val="18"/>
          <w:szCs w:val="18"/>
        </w:rPr>
        <w:t>災害に関する措置</w:t>
      </w:r>
      <w:r w:rsidR="001530D1">
        <w:rPr>
          <w:rFonts w:hint="eastAsia"/>
          <w:sz w:val="18"/>
          <w:szCs w:val="18"/>
        </w:rPr>
        <w:t xml:space="preserve">　⇒　別紙にて説明</w:t>
      </w:r>
    </w:p>
    <w:p w:rsidR="006368C5" w:rsidRPr="00131D1B" w:rsidRDefault="006368C5" w:rsidP="00AC1FB4">
      <w:pPr>
        <w:spacing w:after="0"/>
        <w:rPr>
          <w:sz w:val="18"/>
          <w:szCs w:val="18"/>
        </w:rPr>
      </w:pPr>
    </w:p>
    <w:p w:rsidR="006368C5" w:rsidRPr="00131D1B" w:rsidRDefault="006368C5" w:rsidP="00AC1FB4">
      <w:pPr>
        <w:pStyle w:val="a7"/>
        <w:numPr>
          <w:ilvl w:val="0"/>
          <w:numId w:val="1"/>
        </w:numPr>
        <w:spacing w:after="0"/>
        <w:ind w:leftChars="0"/>
        <w:rPr>
          <w:sz w:val="18"/>
          <w:szCs w:val="18"/>
        </w:rPr>
      </w:pPr>
      <w:r w:rsidRPr="00131D1B">
        <w:rPr>
          <w:rFonts w:hint="eastAsia"/>
          <w:sz w:val="18"/>
          <w:szCs w:val="18"/>
        </w:rPr>
        <w:t>租税特別措置法関係</w:t>
      </w:r>
    </w:p>
    <w:p w:rsidR="006F53A1" w:rsidRDefault="006F53A1" w:rsidP="006F53A1">
      <w:pPr>
        <w:pStyle w:val="a7"/>
        <w:numPr>
          <w:ilvl w:val="0"/>
          <w:numId w:val="8"/>
        </w:numPr>
        <w:spacing w:after="0"/>
        <w:ind w:leftChars="0"/>
        <w:rPr>
          <w:sz w:val="18"/>
          <w:szCs w:val="18"/>
        </w:rPr>
      </w:pPr>
      <w:r>
        <w:rPr>
          <w:rFonts w:hint="eastAsia"/>
          <w:sz w:val="18"/>
          <w:szCs w:val="18"/>
        </w:rPr>
        <w:t>公益法人等に対して財産を寄付した場合の譲渡所得の非課税の特例についての改正</w:t>
      </w:r>
    </w:p>
    <w:p w:rsidR="006F53A1" w:rsidRDefault="006F53A1" w:rsidP="006F53A1">
      <w:pPr>
        <w:pStyle w:val="a7"/>
        <w:spacing w:after="0"/>
        <w:ind w:leftChars="0" w:left="640"/>
        <w:rPr>
          <w:sz w:val="18"/>
          <w:szCs w:val="18"/>
        </w:rPr>
      </w:pPr>
      <w:r>
        <w:rPr>
          <w:rFonts w:hint="eastAsia"/>
          <w:sz w:val="18"/>
          <w:szCs w:val="18"/>
        </w:rPr>
        <w:t>次に掲げる贈与又は遺贈も非課税の対象とする。</w:t>
      </w:r>
    </w:p>
    <w:p w:rsidR="006F53A1" w:rsidRDefault="006F53A1" w:rsidP="006F53A1">
      <w:pPr>
        <w:pStyle w:val="a7"/>
        <w:spacing w:after="0"/>
        <w:ind w:leftChars="300" w:hangingChars="100" w:hanging="180"/>
        <w:rPr>
          <w:sz w:val="18"/>
          <w:szCs w:val="18"/>
        </w:rPr>
      </w:pPr>
      <w:r>
        <w:rPr>
          <w:rFonts w:hint="eastAsia"/>
          <w:sz w:val="18"/>
          <w:szCs w:val="18"/>
        </w:rPr>
        <w:t>・公益社団法人等に対する贈与等で、その公益社団法人</w:t>
      </w:r>
      <w:r w:rsidR="000D3826">
        <w:rPr>
          <w:rFonts w:hint="eastAsia"/>
          <w:sz w:val="18"/>
          <w:szCs w:val="18"/>
        </w:rPr>
        <w:t>等</w:t>
      </w:r>
      <w:r>
        <w:rPr>
          <w:rFonts w:hint="eastAsia"/>
          <w:sz w:val="18"/>
          <w:szCs w:val="18"/>
        </w:rPr>
        <w:t>の理事等以外の者が行うもののうち、その公益社団法人等の公益目的事業を行うために不可欠な財産の贈与</w:t>
      </w:r>
      <w:r w:rsidR="000D3826">
        <w:rPr>
          <w:rFonts w:hint="eastAsia"/>
          <w:sz w:val="18"/>
          <w:szCs w:val="18"/>
        </w:rPr>
        <w:t>等</w:t>
      </w:r>
    </w:p>
    <w:p w:rsidR="006F53A1" w:rsidRDefault="006F53A1" w:rsidP="006F53A1">
      <w:pPr>
        <w:pStyle w:val="a7"/>
        <w:spacing w:after="0"/>
        <w:ind w:leftChars="300" w:hangingChars="100" w:hanging="180"/>
        <w:rPr>
          <w:sz w:val="18"/>
          <w:szCs w:val="18"/>
        </w:rPr>
      </w:pPr>
      <w:r>
        <w:rPr>
          <w:rFonts w:hint="eastAsia"/>
          <w:sz w:val="18"/>
          <w:szCs w:val="18"/>
        </w:rPr>
        <w:t>・一定の学校法人に対する贈与等で、その学校法人の役員以外の者が行うもののうち、その学校法人の基本金に組み入れられる財産の贈与</w:t>
      </w:r>
      <w:r w:rsidR="000D3826">
        <w:rPr>
          <w:rFonts w:hint="eastAsia"/>
          <w:sz w:val="18"/>
          <w:szCs w:val="18"/>
        </w:rPr>
        <w:t>等</w:t>
      </w:r>
    </w:p>
    <w:p w:rsidR="006F53A1" w:rsidRDefault="006F53A1" w:rsidP="006F53A1">
      <w:pPr>
        <w:pStyle w:val="a7"/>
        <w:spacing w:after="0"/>
        <w:ind w:leftChars="300" w:hangingChars="100" w:hanging="180"/>
        <w:rPr>
          <w:sz w:val="18"/>
          <w:szCs w:val="18"/>
        </w:rPr>
      </w:pPr>
      <w:r>
        <w:rPr>
          <w:rFonts w:hint="eastAsia"/>
          <w:sz w:val="18"/>
          <w:szCs w:val="18"/>
        </w:rPr>
        <w:t>・社会福祉法人に対する贈与等で、その社会福祉法人の役員以外の者が行うもののうち、その社会福祉法時の基本金に組み入れられる財産の贈与</w:t>
      </w:r>
      <w:r w:rsidR="000D3826">
        <w:rPr>
          <w:rFonts w:hint="eastAsia"/>
          <w:sz w:val="18"/>
          <w:szCs w:val="18"/>
        </w:rPr>
        <w:t>等</w:t>
      </w:r>
    </w:p>
    <w:p w:rsidR="00A91B1D" w:rsidRDefault="00A91B1D" w:rsidP="006F53A1">
      <w:pPr>
        <w:pStyle w:val="a7"/>
        <w:spacing w:after="0"/>
        <w:ind w:leftChars="300" w:hangingChars="100" w:hanging="180"/>
        <w:rPr>
          <w:sz w:val="18"/>
          <w:szCs w:val="18"/>
        </w:rPr>
      </w:pPr>
      <w:r>
        <w:rPr>
          <w:rFonts w:hint="eastAsia"/>
          <w:sz w:val="18"/>
          <w:szCs w:val="18"/>
        </w:rPr>
        <w:t>非課税の対象となる財産から、株式、新株予約権、特定受益証券発行信託の受益権等を除く。</w:t>
      </w:r>
    </w:p>
    <w:p w:rsidR="006B0DE8" w:rsidRPr="007F6520" w:rsidRDefault="006B0DE8" w:rsidP="006F53A1">
      <w:pPr>
        <w:pStyle w:val="a7"/>
        <w:spacing w:after="0"/>
        <w:ind w:leftChars="300" w:hangingChars="100" w:hanging="180"/>
        <w:rPr>
          <w:sz w:val="18"/>
          <w:szCs w:val="18"/>
        </w:rPr>
      </w:pPr>
    </w:p>
    <w:p w:rsidR="006368C5" w:rsidRPr="00131D1B" w:rsidRDefault="006368C5" w:rsidP="00AC1FB4">
      <w:pPr>
        <w:pStyle w:val="a7"/>
        <w:numPr>
          <w:ilvl w:val="0"/>
          <w:numId w:val="1"/>
        </w:numPr>
        <w:spacing w:after="0"/>
        <w:ind w:leftChars="0"/>
        <w:rPr>
          <w:sz w:val="18"/>
          <w:szCs w:val="18"/>
        </w:rPr>
      </w:pPr>
      <w:r w:rsidRPr="00131D1B">
        <w:rPr>
          <w:rFonts w:hint="eastAsia"/>
          <w:sz w:val="18"/>
          <w:szCs w:val="18"/>
        </w:rPr>
        <w:t>その他</w:t>
      </w:r>
    </w:p>
    <w:p w:rsidR="00A91B1D" w:rsidRDefault="00A91B1D" w:rsidP="00A91B1D">
      <w:pPr>
        <w:pStyle w:val="a7"/>
        <w:numPr>
          <w:ilvl w:val="0"/>
          <w:numId w:val="8"/>
        </w:numPr>
        <w:spacing w:after="0"/>
        <w:ind w:leftChars="0"/>
        <w:rPr>
          <w:sz w:val="18"/>
          <w:szCs w:val="18"/>
        </w:rPr>
      </w:pPr>
      <w:r>
        <w:rPr>
          <w:rFonts w:hint="eastAsia"/>
          <w:sz w:val="18"/>
          <w:szCs w:val="18"/>
        </w:rPr>
        <w:lastRenderedPageBreak/>
        <w:t>届出書の提出不要</w:t>
      </w:r>
    </w:p>
    <w:p w:rsidR="00A91B1D" w:rsidRPr="00530200" w:rsidRDefault="00A91B1D" w:rsidP="00530200">
      <w:pPr>
        <w:pStyle w:val="a7"/>
        <w:spacing w:after="0"/>
        <w:ind w:leftChars="0" w:left="640"/>
        <w:rPr>
          <w:sz w:val="18"/>
          <w:szCs w:val="18"/>
        </w:rPr>
      </w:pPr>
      <w:r>
        <w:rPr>
          <w:rFonts w:hint="eastAsia"/>
          <w:sz w:val="18"/>
          <w:szCs w:val="18"/>
        </w:rPr>
        <w:t>納税地の変更・異動等に関する届出書の提出先が、「変更</w:t>
      </w:r>
      <w:r w:rsidRPr="00A91B1D">
        <w:rPr>
          <w:rFonts w:hint="eastAsia"/>
          <w:color w:val="FF0000"/>
          <w:sz w:val="18"/>
          <w:szCs w:val="18"/>
        </w:rPr>
        <w:t>前</w:t>
      </w:r>
      <w:r>
        <w:rPr>
          <w:rFonts w:hint="eastAsia"/>
          <w:sz w:val="18"/>
          <w:szCs w:val="18"/>
        </w:rPr>
        <w:t>及び変更</w:t>
      </w:r>
      <w:r w:rsidRPr="00A91B1D">
        <w:rPr>
          <w:rFonts w:hint="eastAsia"/>
          <w:color w:val="FF0000"/>
          <w:sz w:val="18"/>
          <w:szCs w:val="18"/>
        </w:rPr>
        <w:t>後</w:t>
      </w:r>
      <w:r>
        <w:rPr>
          <w:rFonts w:hint="eastAsia"/>
          <w:sz w:val="18"/>
          <w:szCs w:val="18"/>
        </w:rPr>
        <w:t>の所轄税務署長」から、「変更</w:t>
      </w:r>
      <w:r w:rsidRPr="00A91B1D">
        <w:rPr>
          <w:rFonts w:hint="eastAsia"/>
          <w:color w:val="FF0000"/>
          <w:sz w:val="18"/>
          <w:szCs w:val="18"/>
        </w:rPr>
        <w:t>前</w:t>
      </w:r>
      <w:r>
        <w:rPr>
          <w:rFonts w:hint="eastAsia"/>
          <w:sz w:val="18"/>
          <w:szCs w:val="18"/>
        </w:rPr>
        <w:t>の所轄税務署長」に変更され、変更</w:t>
      </w:r>
      <w:r w:rsidRPr="00A91B1D">
        <w:rPr>
          <w:rFonts w:hint="eastAsia"/>
          <w:color w:val="FF0000"/>
          <w:sz w:val="18"/>
          <w:szCs w:val="18"/>
        </w:rPr>
        <w:t>後</w:t>
      </w:r>
      <w:r>
        <w:rPr>
          <w:rFonts w:hint="eastAsia"/>
          <w:sz w:val="18"/>
          <w:szCs w:val="18"/>
        </w:rPr>
        <w:t>の税務署には届出が不要とされる。</w:t>
      </w:r>
    </w:p>
    <w:p w:rsidR="006B0DE8" w:rsidRDefault="00A91B1D" w:rsidP="006B0DE8">
      <w:pPr>
        <w:pStyle w:val="a7"/>
        <w:numPr>
          <w:ilvl w:val="0"/>
          <w:numId w:val="8"/>
        </w:numPr>
        <w:spacing w:after="0"/>
        <w:ind w:leftChars="0"/>
        <w:rPr>
          <w:sz w:val="18"/>
          <w:szCs w:val="18"/>
        </w:rPr>
      </w:pPr>
      <w:r>
        <w:rPr>
          <w:rFonts w:hint="eastAsia"/>
          <w:sz w:val="18"/>
          <w:szCs w:val="18"/>
        </w:rPr>
        <w:t>医</w:t>
      </w:r>
      <w:r w:rsidR="006B0DE8">
        <w:rPr>
          <w:rFonts w:hint="eastAsia"/>
          <w:sz w:val="18"/>
          <w:szCs w:val="18"/>
        </w:rPr>
        <w:t>療費の明細書又は医薬品購入費の明細書の添付義務</w:t>
      </w:r>
    </w:p>
    <w:p w:rsidR="006B0DE8" w:rsidRDefault="006B0DE8" w:rsidP="006B0DE8">
      <w:pPr>
        <w:pStyle w:val="a7"/>
        <w:spacing w:after="0"/>
        <w:ind w:leftChars="0" w:left="640"/>
        <w:rPr>
          <w:sz w:val="18"/>
          <w:szCs w:val="18"/>
        </w:rPr>
      </w:pPr>
      <w:r>
        <w:rPr>
          <w:rFonts w:hint="eastAsia"/>
          <w:sz w:val="18"/>
          <w:szCs w:val="18"/>
        </w:rPr>
        <w:t>医療費控除やセルフメディケーション税制の適用を受ける者は、医療費の領収書等の添付に代えて、医療費の明細書又は医薬品購入費の明細書を確定申告書の提出の際に添付が必要となる。</w:t>
      </w:r>
    </w:p>
    <w:p w:rsidR="006B0DE8" w:rsidRDefault="006B0DE8" w:rsidP="006B0DE8">
      <w:pPr>
        <w:spacing w:after="0" w:line="240" w:lineRule="auto"/>
        <w:ind w:left="220" w:firstLineChars="100" w:firstLine="180"/>
        <w:rPr>
          <w:color w:val="2F5496" w:themeColor="accent5" w:themeShade="BF"/>
          <w:sz w:val="18"/>
          <w:szCs w:val="18"/>
        </w:rPr>
      </w:pPr>
      <w:r w:rsidRPr="00621A34">
        <w:rPr>
          <w:rFonts w:hint="eastAsia"/>
          <w:color w:val="2F5496" w:themeColor="accent5" w:themeShade="BF"/>
          <w:sz w:val="18"/>
          <w:szCs w:val="18"/>
        </w:rPr>
        <w:t>適用時期：平成２９年</w:t>
      </w:r>
      <w:r>
        <w:rPr>
          <w:rFonts w:hint="eastAsia"/>
          <w:color w:val="2F5496" w:themeColor="accent5" w:themeShade="BF"/>
          <w:sz w:val="18"/>
          <w:szCs w:val="18"/>
        </w:rPr>
        <w:t>分以後</w:t>
      </w:r>
    </w:p>
    <w:p w:rsidR="006B0DE8" w:rsidRPr="006B0DE8" w:rsidRDefault="006B0DE8" w:rsidP="006B0DE8">
      <w:pPr>
        <w:spacing w:after="0" w:line="240" w:lineRule="auto"/>
        <w:ind w:left="220" w:firstLineChars="100" w:firstLine="180"/>
        <w:rPr>
          <w:color w:val="2F5496" w:themeColor="accent5" w:themeShade="BF"/>
          <w:sz w:val="18"/>
          <w:szCs w:val="18"/>
        </w:rPr>
      </w:pPr>
      <w:r>
        <w:rPr>
          <w:rFonts w:hint="eastAsia"/>
          <w:color w:val="2F5496" w:themeColor="accent5" w:themeShade="BF"/>
          <w:sz w:val="18"/>
          <w:szCs w:val="18"/>
        </w:rPr>
        <w:t>経過措置により、平成２９年～平成３１年は医療費の領収書等の添付による医療費控除の適用も可能とする。</w:t>
      </w:r>
    </w:p>
    <w:p w:rsidR="006B0DE8" w:rsidRPr="006B0DE8" w:rsidRDefault="006B0DE8" w:rsidP="006B0DE8">
      <w:pPr>
        <w:spacing w:after="0"/>
        <w:rPr>
          <w:sz w:val="18"/>
          <w:szCs w:val="18"/>
        </w:rPr>
      </w:pPr>
    </w:p>
    <w:p w:rsidR="00775F9E" w:rsidRPr="00131D1B" w:rsidRDefault="00775F9E" w:rsidP="00AC1FB4">
      <w:pPr>
        <w:spacing w:after="0"/>
        <w:rPr>
          <w:b/>
          <w:sz w:val="18"/>
          <w:szCs w:val="18"/>
          <w:bdr w:val="single" w:sz="4" w:space="0" w:color="auto"/>
        </w:rPr>
      </w:pPr>
      <w:r w:rsidRPr="00131D1B">
        <w:rPr>
          <w:rFonts w:hint="eastAsia"/>
          <w:b/>
          <w:sz w:val="18"/>
          <w:szCs w:val="18"/>
          <w:bdr w:val="single" w:sz="4" w:space="0" w:color="auto"/>
        </w:rPr>
        <w:t>Ⅱ</w:t>
      </w:r>
      <w:r w:rsidR="00410485" w:rsidRPr="00131D1B">
        <w:rPr>
          <w:rFonts w:hint="eastAsia"/>
          <w:b/>
          <w:sz w:val="18"/>
          <w:szCs w:val="18"/>
          <w:bdr w:val="single" w:sz="4" w:space="0" w:color="auto"/>
        </w:rPr>
        <w:t xml:space="preserve">　</w:t>
      </w:r>
      <w:r w:rsidRPr="00131D1B">
        <w:rPr>
          <w:rFonts w:hint="eastAsia"/>
          <w:b/>
          <w:sz w:val="18"/>
          <w:szCs w:val="18"/>
          <w:bdr w:val="single" w:sz="4" w:space="0" w:color="auto"/>
        </w:rPr>
        <w:t>資産課税</w:t>
      </w:r>
      <w:r w:rsidR="004A5DED" w:rsidRPr="00131D1B">
        <w:rPr>
          <w:rFonts w:hint="eastAsia"/>
          <w:b/>
          <w:sz w:val="18"/>
          <w:szCs w:val="18"/>
          <w:bdr w:val="single" w:sz="4" w:space="0" w:color="auto"/>
        </w:rPr>
        <w:t xml:space="preserve">（相続税・贈与税・固定資産税）　</w:t>
      </w:r>
    </w:p>
    <w:p w:rsidR="00AC1FB4" w:rsidRPr="00131D1B" w:rsidRDefault="006368C5" w:rsidP="00D34E20">
      <w:pPr>
        <w:pStyle w:val="a7"/>
        <w:numPr>
          <w:ilvl w:val="0"/>
          <w:numId w:val="2"/>
        </w:numPr>
        <w:spacing w:after="0" w:line="240" w:lineRule="auto"/>
        <w:ind w:leftChars="0"/>
        <w:rPr>
          <w:sz w:val="18"/>
          <w:szCs w:val="18"/>
        </w:rPr>
      </w:pPr>
      <w:r w:rsidRPr="00131D1B">
        <w:rPr>
          <w:rFonts w:hint="eastAsia"/>
          <w:sz w:val="18"/>
          <w:szCs w:val="18"/>
        </w:rPr>
        <w:t>非上場株式等に係る相続税・贈与税の納税猶予制度の見直し</w:t>
      </w:r>
    </w:p>
    <w:p w:rsidR="00AC1FB4" w:rsidRDefault="007179F9" w:rsidP="00D34E20">
      <w:pPr>
        <w:pStyle w:val="a7"/>
        <w:numPr>
          <w:ilvl w:val="0"/>
          <w:numId w:val="8"/>
        </w:numPr>
        <w:spacing w:after="0" w:line="240" w:lineRule="auto"/>
        <w:ind w:leftChars="0"/>
        <w:rPr>
          <w:sz w:val="18"/>
          <w:szCs w:val="18"/>
        </w:rPr>
      </w:pPr>
      <w:r>
        <w:rPr>
          <w:rFonts w:hint="eastAsia"/>
          <w:sz w:val="18"/>
          <w:szCs w:val="18"/>
        </w:rPr>
        <w:t>災害関係</w:t>
      </w:r>
      <w:r w:rsidR="001530D1">
        <w:rPr>
          <w:rFonts w:hint="eastAsia"/>
          <w:sz w:val="18"/>
          <w:szCs w:val="18"/>
        </w:rPr>
        <w:t xml:space="preserve">　⇒　別紙にて説明</w:t>
      </w:r>
    </w:p>
    <w:p w:rsidR="00E5332A" w:rsidRDefault="007179F9" w:rsidP="00D34E20">
      <w:pPr>
        <w:pStyle w:val="a7"/>
        <w:numPr>
          <w:ilvl w:val="0"/>
          <w:numId w:val="8"/>
        </w:numPr>
        <w:spacing w:after="0" w:line="240" w:lineRule="auto"/>
        <w:ind w:leftChars="0"/>
        <w:rPr>
          <w:sz w:val="18"/>
          <w:szCs w:val="18"/>
        </w:rPr>
      </w:pPr>
      <w:r>
        <w:rPr>
          <w:rFonts w:hint="eastAsia"/>
          <w:sz w:val="18"/>
          <w:szCs w:val="18"/>
        </w:rPr>
        <w:t>納税猶予の取消事由である雇用確保要件の判定上、従業員数に８０％を乗じた時に端数が生じた場合には、その端数は切り捨てる（現行：切り上げる）。</w:t>
      </w:r>
    </w:p>
    <w:p w:rsidR="007179F9" w:rsidRDefault="007179F9" w:rsidP="00D34E20">
      <w:pPr>
        <w:pStyle w:val="a7"/>
        <w:numPr>
          <w:ilvl w:val="0"/>
          <w:numId w:val="8"/>
        </w:numPr>
        <w:spacing w:after="0" w:line="240" w:lineRule="auto"/>
        <w:ind w:leftChars="0"/>
        <w:rPr>
          <w:sz w:val="18"/>
          <w:szCs w:val="18"/>
        </w:rPr>
      </w:pPr>
      <w:r>
        <w:rPr>
          <w:rFonts w:hint="eastAsia"/>
          <w:sz w:val="18"/>
          <w:szCs w:val="18"/>
        </w:rPr>
        <w:t>贈与税の納税猶予の対象に精算課税贈与を加える。</w:t>
      </w:r>
    </w:p>
    <w:p w:rsidR="007179F9" w:rsidRPr="00621A34" w:rsidRDefault="007179F9" w:rsidP="00D34E20">
      <w:pPr>
        <w:spacing w:after="0" w:line="240" w:lineRule="auto"/>
        <w:ind w:left="220" w:firstLineChars="100" w:firstLine="180"/>
        <w:rPr>
          <w:color w:val="2F5496" w:themeColor="accent5" w:themeShade="BF"/>
          <w:sz w:val="18"/>
          <w:szCs w:val="18"/>
        </w:rPr>
      </w:pPr>
      <w:r w:rsidRPr="00621A34">
        <w:rPr>
          <w:rFonts w:hint="eastAsia"/>
          <w:color w:val="2F5496" w:themeColor="accent5" w:themeShade="BF"/>
          <w:sz w:val="18"/>
          <w:szCs w:val="18"/>
        </w:rPr>
        <w:t>適用時期：平成２９年１月１日以後に相続若しくは遺贈又は贈与により取得する株式について適用</w:t>
      </w:r>
    </w:p>
    <w:p w:rsidR="007179F9" w:rsidRPr="007179F9" w:rsidRDefault="007179F9" w:rsidP="00D34E20">
      <w:pPr>
        <w:spacing w:after="0" w:line="240" w:lineRule="auto"/>
        <w:ind w:left="220" w:firstLineChars="100" w:firstLine="180"/>
        <w:rPr>
          <w:sz w:val="18"/>
          <w:szCs w:val="18"/>
        </w:rPr>
      </w:pPr>
    </w:p>
    <w:p w:rsidR="00BD602E" w:rsidRDefault="006368C5" w:rsidP="00BD602E">
      <w:pPr>
        <w:pStyle w:val="a7"/>
        <w:numPr>
          <w:ilvl w:val="0"/>
          <w:numId w:val="2"/>
        </w:numPr>
        <w:spacing w:after="0"/>
        <w:ind w:leftChars="0"/>
        <w:rPr>
          <w:sz w:val="18"/>
          <w:szCs w:val="18"/>
        </w:rPr>
      </w:pPr>
      <w:r w:rsidRPr="00BD602E">
        <w:rPr>
          <w:rFonts w:hint="eastAsia"/>
          <w:sz w:val="18"/>
          <w:szCs w:val="18"/>
        </w:rPr>
        <w:t>相続税・贈与税の納税義務の見直し</w:t>
      </w:r>
    </w:p>
    <w:p w:rsidR="00BD602E" w:rsidRDefault="00BD602E" w:rsidP="00BD602E">
      <w:pPr>
        <w:pStyle w:val="a7"/>
        <w:numPr>
          <w:ilvl w:val="0"/>
          <w:numId w:val="8"/>
        </w:numPr>
        <w:spacing w:after="0" w:line="240" w:lineRule="auto"/>
        <w:ind w:leftChars="0"/>
        <w:rPr>
          <w:sz w:val="18"/>
          <w:szCs w:val="18"/>
        </w:rPr>
      </w:pPr>
      <w:r>
        <w:rPr>
          <w:rFonts w:hint="eastAsia"/>
          <w:sz w:val="18"/>
          <w:szCs w:val="18"/>
        </w:rPr>
        <w:t>被相続人等と相続人等がともに相続開始前５年を超えて日本に住所を有しない場合は、国外財産が相続税の課税対象外とされていたが、国外居住年数が５年超から１０年超に変更される。</w:t>
      </w:r>
    </w:p>
    <w:p w:rsidR="00BD602E" w:rsidRDefault="00BD602E" w:rsidP="00BD602E">
      <w:pPr>
        <w:pStyle w:val="a7"/>
        <w:numPr>
          <w:ilvl w:val="0"/>
          <w:numId w:val="8"/>
        </w:numPr>
        <w:spacing w:after="0" w:line="240" w:lineRule="auto"/>
        <w:ind w:leftChars="0"/>
        <w:rPr>
          <w:sz w:val="18"/>
          <w:szCs w:val="18"/>
        </w:rPr>
      </w:pPr>
      <w:r>
        <w:rPr>
          <w:rFonts w:hint="eastAsia"/>
          <w:sz w:val="18"/>
          <w:szCs w:val="18"/>
        </w:rPr>
        <w:t>国内に住所がなく</w:t>
      </w:r>
      <w:r w:rsidR="00DD5D06">
        <w:rPr>
          <w:rFonts w:hint="eastAsia"/>
          <w:sz w:val="18"/>
          <w:szCs w:val="18"/>
        </w:rPr>
        <w:t>日本国籍を有しない相続人等が、国内に住所はないが相続開始前１０年以内に国内に住所を有していた被相続人等から相続等により取得した国外財産についても相続税の課税対象とする。</w:t>
      </w:r>
    </w:p>
    <w:p w:rsidR="00BD602E" w:rsidRPr="00BD602E" w:rsidRDefault="00BD602E" w:rsidP="007179F9">
      <w:pPr>
        <w:pStyle w:val="a7"/>
        <w:spacing w:after="0"/>
        <w:ind w:leftChars="0" w:left="420"/>
        <w:rPr>
          <w:sz w:val="18"/>
          <w:szCs w:val="18"/>
        </w:rPr>
      </w:pPr>
      <w:r w:rsidRPr="00BD602E">
        <w:rPr>
          <w:rFonts w:hint="eastAsia"/>
          <w:noProof/>
        </w:rPr>
        <w:drawing>
          <wp:inline distT="0" distB="0" distL="0" distR="0">
            <wp:extent cx="4981575" cy="3652086"/>
            <wp:effectExtent l="0" t="0" r="0" b="571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10943" cy="3673616"/>
                    </a:xfrm>
                    <a:prstGeom prst="rect">
                      <a:avLst/>
                    </a:prstGeom>
                    <a:noFill/>
                    <a:ln>
                      <a:noFill/>
                    </a:ln>
                  </pic:spPr>
                </pic:pic>
              </a:graphicData>
            </a:graphic>
          </wp:inline>
        </w:drawing>
      </w:r>
    </w:p>
    <w:p w:rsidR="00DD5D06" w:rsidRDefault="00DD5D06" w:rsidP="00DD5D06">
      <w:pPr>
        <w:pStyle w:val="a7"/>
        <w:numPr>
          <w:ilvl w:val="0"/>
          <w:numId w:val="8"/>
        </w:numPr>
        <w:spacing w:after="0" w:line="240" w:lineRule="auto"/>
        <w:ind w:leftChars="0"/>
        <w:rPr>
          <w:sz w:val="18"/>
          <w:szCs w:val="18"/>
        </w:rPr>
      </w:pPr>
      <w:r>
        <w:rPr>
          <w:rFonts w:hint="eastAsia"/>
          <w:sz w:val="18"/>
          <w:szCs w:val="18"/>
        </w:rPr>
        <w:lastRenderedPageBreak/>
        <w:t>被相続人等と相続人等がともに出入国管理及び難民認定法別表第一の在留資格をもって一時的に滞在している場合の相続等については</w:t>
      </w:r>
      <w:bookmarkStart w:id="0" w:name="_GoBack"/>
      <w:bookmarkEnd w:id="0"/>
      <w:r>
        <w:rPr>
          <w:rFonts w:hint="eastAsia"/>
          <w:sz w:val="18"/>
          <w:szCs w:val="18"/>
        </w:rPr>
        <w:t>、国内財産のみを課税対象とする。</w:t>
      </w:r>
    </w:p>
    <w:p w:rsidR="00D34E20" w:rsidRDefault="00CE5B4A" w:rsidP="007179F9">
      <w:pPr>
        <w:pStyle w:val="a7"/>
        <w:spacing w:after="0"/>
        <w:ind w:leftChars="0" w:left="420"/>
        <w:rPr>
          <w:color w:val="2F5496" w:themeColor="accent5" w:themeShade="BF"/>
          <w:sz w:val="18"/>
          <w:szCs w:val="18"/>
        </w:rPr>
      </w:pPr>
      <w:r w:rsidRPr="00CE5B4A">
        <w:rPr>
          <w:rFonts w:hint="eastAsia"/>
          <w:color w:val="2F5496" w:themeColor="accent5" w:themeShade="BF"/>
          <w:sz w:val="18"/>
          <w:szCs w:val="18"/>
        </w:rPr>
        <w:t>適用期限：平成２９年４月１日以後に相続若しくは遺贈又は贈与により取得する財産について適用</w:t>
      </w:r>
    </w:p>
    <w:p w:rsidR="00DD5D06" w:rsidRPr="00DD5D06" w:rsidRDefault="00DD5D06" w:rsidP="007179F9">
      <w:pPr>
        <w:pStyle w:val="a7"/>
        <w:spacing w:after="0"/>
        <w:ind w:leftChars="0" w:left="420"/>
        <w:rPr>
          <w:color w:val="2F5496" w:themeColor="accent5" w:themeShade="BF"/>
          <w:sz w:val="18"/>
          <w:szCs w:val="18"/>
        </w:rPr>
      </w:pPr>
    </w:p>
    <w:p w:rsidR="006368C5" w:rsidRDefault="006368C5" w:rsidP="00AC1FB4">
      <w:pPr>
        <w:pStyle w:val="a7"/>
        <w:numPr>
          <w:ilvl w:val="0"/>
          <w:numId w:val="2"/>
        </w:numPr>
        <w:spacing w:after="0"/>
        <w:ind w:leftChars="0"/>
        <w:rPr>
          <w:sz w:val="18"/>
          <w:szCs w:val="18"/>
        </w:rPr>
      </w:pPr>
      <w:r w:rsidRPr="00131D1B">
        <w:rPr>
          <w:rFonts w:hint="eastAsia"/>
          <w:sz w:val="18"/>
          <w:szCs w:val="18"/>
        </w:rPr>
        <w:t>居住用超高層建築物（タワーマンション）に係る課税の見直し</w:t>
      </w:r>
    </w:p>
    <w:p w:rsidR="00B9669C" w:rsidRDefault="00D77BCE" w:rsidP="00B9669C">
      <w:pPr>
        <w:spacing w:after="0" w:line="240" w:lineRule="auto"/>
        <w:ind w:leftChars="200" w:left="440"/>
        <w:rPr>
          <w:sz w:val="18"/>
          <w:szCs w:val="18"/>
        </w:rPr>
      </w:pPr>
      <w:r>
        <w:rPr>
          <w:rFonts w:hint="eastAsia"/>
          <w:sz w:val="18"/>
          <w:szCs w:val="18"/>
        </w:rPr>
        <w:t>高さ６０ｍ</w:t>
      </w:r>
      <w:r w:rsidR="007F6520">
        <w:rPr>
          <w:rFonts w:hint="eastAsia"/>
          <w:sz w:val="18"/>
          <w:szCs w:val="18"/>
        </w:rPr>
        <w:t>を超える</w:t>
      </w:r>
      <w:r>
        <w:rPr>
          <w:rFonts w:hint="eastAsia"/>
          <w:sz w:val="18"/>
          <w:szCs w:val="18"/>
        </w:rPr>
        <w:t>居住用超高層建築物の固定資産税や不動産取得税について、階数に応じて</w:t>
      </w:r>
      <w:r w:rsidR="00B9669C">
        <w:rPr>
          <w:rFonts w:hint="eastAsia"/>
          <w:sz w:val="18"/>
          <w:szCs w:val="18"/>
        </w:rPr>
        <w:t>、</w:t>
      </w:r>
      <w:r>
        <w:rPr>
          <w:rFonts w:hint="eastAsia"/>
          <w:sz w:val="18"/>
          <w:szCs w:val="18"/>
        </w:rPr>
        <w:t>下記の調整を行</w:t>
      </w:r>
      <w:r w:rsidR="00B9669C">
        <w:rPr>
          <w:rFonts w:hint="eastAsia"/>
          <w:sz w:val="18"/>
          <w:szCs w:val="18"/>
        </w:rPr>
        <w:t>い、全体の固定資産税額の按分や不動産取得税の課税を行う。</w:t>
      </w:r>
    </w:p>
    <w:p w:rsidR="00D77BCE" w:rsidRDefault="00B9669C" w:rsidP="00B9669C">
      <w:pPr>
        <w:spacing w:after="0" w:line="240" w:lineRule="auto"/>
        <w:ind w:leftChars="200" w:left="440"/>
        <w:rPr>
          <w:sz w:val="18"/>
          <w:szCs w:val="18"/>
        </w:rPr>
      </w:pPr>
      <w:r>
        <w:rPr>
          <w:rFonts w:hint="eastAsia"/>
          <w:sz w:val="18"/>
          <w:szCs w:val="18"/>
        </w:rPr>
        <w:t>調整：</w:t>
      </w:r>
      <w:r w:rsidR="00D77BCE">
        <w:rPr>
          <w:rFonts w:hint="eastAsia"/>
          <w:sz w:val="18"/>
          <w:szCs w:val="18"/>
        </w:rPr>
        <w:t>１階を１００とし、階を増すごとに一階当たり</w:t>
      </w:r>
      <w:r w:rsidR="007F6520">
        <w:rPr>
          <w:rFonts w:hint="eastAsia"/>
          <w:sz w:val="18"/>
          <w:szCs w:val="18"/>
        </w:rPr>
        <w:t>３９</w:t>
      </w:r>
      <w:r>
        <w:rPr>
          <w:rFonts w:hint="eastAsia"/>
          <w:sz w:val="18"/>
          <w:szCs w:val="18"/>
        </w:rPr>
        <w:t>分の</w:t>
      </w:r>
      <w:r w:rsidR="007F6520">
        <w:rPr>
          <w:rFonts w:hint="eastAsia"/>
          <w:sz w:val="18"/>
          <w:szCs w:val="18"/>
        </w:rPr>
        <w:t>１０</w:t>
      </w:r>
      <w:r>
        <w:rPr>
          <w:rFonts w:hint="eastAsia"/>
          <w:sz w:val="18"/>
          <w:szCs w:val="18"/>
        </w:rPr>
        <w:t>を加えた数値</w:t>
      </w:r>
    </w:p>
    <w:p w:rsidR="00B9669C" w:rsidRPr="00D77BCE" w:rsidRDefault="00B9669C" w:rsidP="00B9669C">
      <w:pPr>
        <w:spacing w:after="0" w:line="240" w:lineRule="auto"/>
        <w:ind w:leftChars="200" w:left="440"/>
        <w:rPr>
          <w:sz w:val="18"/>
          <w:szCs w:val="18"/>
        </w:rPr>
      </w:pPr>
      <w:r>
        <w:rPr>
          <w:rFonts w:hint="eastAsia"/>
          <w:sz w:val="18"/>
          <w:szCs w:val="18"/>
        </w:rPr>
        <w:t>なお、階数以外に、天井の高さや付帯設備の程度に著しい差異がある場合にも、その差異に応じた調整を行う。</w:t>
      </w:r>
    </w:p>
    <w:p w:rsidR="00D34E20" w:rsidRDefault="00D34E20" w:rsidP="00D34E20">
      <w:pPr>
        <w:pStyle w:val="a7"/>
        <w:spacing w:after="0"/>
        <w:ind w:leftChars="0" w:left="420"/>
        <w:rPr>
          <w:color w:val="2F5496" w:themeColor="accent5" w:themeShade="BF"/>
          <w:sz w:val="18"/>
          <w:szCs w:val="18"/>
        </w:rPr>
      </w:pPr>
      <w:r w:rsidRPr="00621A34">
        <w:rPr>
          <w:rFonts w:hint="eastAsia"/>
          <w:color w:val="2F5496" w:themeColor="accent5" w:themeShade="BF"/>
          <w:sz w:val="18"/>
          <w:szCs w:val="18"/>
        </w:rPr>
        <w:t>適用時期：</w:t>
      </w:r>
      <w:r w:rsidR="00E53CF6" w:rsidRPr="00621A34">
        <w:rPr>
          <w:rFonts w:hint="eastAsia"/>
          <w:color w:val="2F5496" w:themeColor="accent5" w:themeShade="BF"/>
          <w:sz w:val="18"/>
          <w:szCs w:val="18"/>
        </w:rPr>
        <w:t>平成３０年度から新たに課税されることとなる居住用超高層建物</w:t>
      </w:r>
      <w:r w:rsidR="00D57542">
        <w:rPr>
          <w:rFonts w:hint="eastAsia"/>
          <w:color w:val="2F5496" w:themeColor="accent5" w:themeShade="BF"/>
          <w:sz w:val="18"/>
          <w:szCs w:val="18"/>
        </w:rPr>
        <w:t>に適用</w:t>
      </w:r>
    </w:p>
    <w:p w:rsidR="00B9669C" w:rsidRPr="00621A34" w:rsidRDefault="00B9669C" w:rsidP="00D34E20">
      <w:pPr>
        <w:pStyle w:val="a7"/>
        <w:spacing w:after="0"/>
        <w:ind w:leftChars="0" w:left="420"/>
        <w:rPr>
          <w:color w:val="2F5496" w:themeColor="accent5" w:themeShade="BF"/>
          <w:sz w:val="18"/>
          <w:szCs w:val="18"/>
        </w:rPr>
      </w:pPr>
    </w:p>
    <w:p w:rsidR="006368C5" w:rsidRPr="00131D1B" w:rsidRDefault="006368C5" w:rsidP="00AC1FB4">
      <w:pPr>
        <w:pStyle w:val="a7"/>
        <w:numPr>
          <w:ilvl w:val="0"/>
          <w:numId w:val="2"/>
        </w:numPr>
        <w:spacing w:after="0"/>
        <w:ind w:leftChars="0"/>
        <w:rPr>
          <w:sz w:val="18"/>
          <w:szCs w:val="18"/>
        </w:rPr>
      </w:pPr>
      <w:r w:rsidRPr="00131D1B">
        <w:rPr>
          <w:rFonts w:hint="eastAsia"/>
          <w:sz w:val="18"/>
          <w:szCs w:val="18"/>
        </w:rPr>
        <w:t>災害に係る措置</w:t>
      </w:r>
      <w:r w:rsidR="001530D1">
        <w:rPr>
          <w:rFonts w:hint="eastAsia"/>
          <w:sz w:val="18"/>
          <w:szCs w:val="18"/>
        </w:rPr>
        <w:t xml:space="preserve">　⇒別紙にて説明</w:t>
      </w:r>
    </w:p>
    <w:p w:rsidR="006368C5" w:rsidRPr="00131D1B" w:rsidRDefault="006368C5" w:rsidP="00AC1FB4">
      <w:pPr>
        <w:spacing w:after="0"/>
        <w:rPr>
          <w:sz w:val="18"/>
          <w:szCs w:val="18"/>
        </w:rPr>
      </w:pPr>
    </w:p>
    <w:p w:rsidR="006368C5" w:rsidRPr="00131D1B" w:rsidRDefault="006368C5" w:rsidP="00AC1FB4">
      <w:pPr>
        <w:pStyle w:val="a7"/>
        <w:numPr>
          <w:ilvl w:val="0"/>
          <w:numId w:val="2"/>
        </w:numPr>
        <w:spacing w:after="0"/>
        <w:ind w:leftChars="0"/>
        <w:rPr>
          <w:sz w:val="18"/>
          <w:szCs w:val="18"/>
        </w:rPr>
      </w:pPr>
      <w:r w:rsidRPr="00131D1B">
        <w:rPr>
          <w:rFonts w:hint="eastAsia"/>
          <w:sz w:val="18"/>
          <w:szCs w:val="18"/>
        </w:rPr>
        <w:t>租税特別措置法関係</w:t>
      </w:r>
    </w:p>
    <w:p w:rsidR="00F55A61" w:rsidRDefault="00F55A61" w:rsidP="00F55A61">
      <w:pPr>
        <w:pStyle w:val="a7"/>
        <w:numPr>
          <w:ilvl w:val="0"/>
          <w:numId w:val="8"/>
        </w:numPr>
        <w:spacing w:after="0" w:line="240" w:lineRule="auto"/>
        <w:ind w:leftChars="0"/>
        <w:rPr>
          <w:sz w:val="18"/>
          <w:szCs w:val="18"/>
        </w:rPr>
      </w:pPr>
      <w:r>
        <w:rPr>
          <w:rFonts w:hint="eastAsia"/>
          <w:sz w:val="18"/>
          <w:szCs w:val="18"/>
        </w:rPr>
        <w:t>持分のない医療法人への移行促進</w:t>
      </w:r>
    </w:p>
    <w:p w:rsidR="00F55A61" w:rsidRDefault="00F55A61" w:rsidP="00F55A61">
      <w:pPr>
        <w:pStyle w:val="a7"/>
        <w:spacing w:after="0" w:line="240" w:lineRule="auto"/>
        <w:ind w:leftChars="0" w:left="640"/>
        <w:rPr>
          <w:sz w:val="18"/>
          <w:szCs w:val="18"/>
        </w:rPr>
      </w:pPr>
      <w:r w:rsidRPr="00F55A61">
        <w:rPr>
          <w:sz w:val="18"/>
          <w:szCs w:val="18"/>
        </w:rPr>
        <w:t>持分あり医療法人から持分なし医療法人へ移行する際、出資者の持分の放棄による経済的利益の法人への帰属に</w:t>
      </w:r>
      <w:r w:rsidRPr="00F55A61">
        <w:rPr>
          <w:sz w:val="18"/>
          <w:szCs w:val="18"/>
        </w:rPr>
        <w:t xml:space="preserve"> </w:t>
      </w:r>
      <w:r w:rsidRPr="00F55A61">
        <w:rPr>
          <w:sz w:val="18"/>
          <w:szCs w:val="18"/>
        </w:rPr>
        <w:t>ついて、当該法人に対して贈与税が課税される場合があるが、移行計画の認定を受けた法人については、円滑な移行促進のために法人への贈与税を非課税等とする。</w:t>
      </w:r>
      <w:r>
        <w:rPr>
          <w:rFonts w:hint="eastAsia"/>
          <w:sz w:val="18"/>
          <w:szCs w:val="18"/>
        </w:rPr>
        <w:t>ただし、持分の定めのない医療法</w:t>
      </w:r>
      <w:r w:rsidR="006E16AA">
        <w:rPr>
          <w:rFonts w:hint="eastAsia"/>
          <w:sz w:val="18"/>
          <w:szCs w:val="18"/>
        </w:rPr>
        <w:t>人</w:t>
      </w:r>
      <w:r>
        <w:rPr>
          <w:rFonts w:hint="eastAsia"/>
          <w:sz w:val="18"/>
          <w:szCs w:val="18"/>
        </w:rPr>
        <w:t>に移行後６年を経過する日までの間に移行計画の認定要件に該当しないこととなった場合には、贈与税を課する。</w:t>
      </w:r>
    </w:p>
    <w:p w:rsidR="00F55A61" w:rsidRDefault="00F55A61" w:rsidP="00F55A61">
      <w:pPr>
        <w:pStyle w:val="a7"/>
        <w:numPr>
          <w:ilvl w:val="0"/>
          <w:numId w:val="8"/>
        </w:numPr>
        <w:spacing w:after="0" w:line="240" w:lineRule="auto"/>
        <w:ind w:leftChars="0"/>
        <w:rPr>
          <w:sz w:val="18"/>
          <w:szCs w:val="18"/>
        </w:rPr>
      </w:pPr>
      <w:r>
        <w:rPr>
          <w:rFonts w:hint="eastAsia"/>
          <w:sz w:val="18"/>
          <w:szCs w:val="18"/>
        </w:rPr>
        <w:t>医療法人の相続税・贈与税の納税猶予制度の適用期限を３年延長</w:t>
      </w:r>
    </w:p>
    <w:p w:rsidR="00602162" w:rsidRDefault="00602162" w:rsidP="00F55A61">
      <w:pPr>
        <w:pStyle w:val="a7"/>
        <w:numPr>
          <w:ilvl w:val="0"/>
          <w:numId w:val="8"/>
        </w:numPr>
        <w:spacing w:after="0" w:line="240" w:lineRule="auto"/>
        <w:ind w:leftChars="0"/>
        <w:rPr>
          <w:sz w:val="18"/>
          <w:szCs w:val="18"/>
        </w:rPr>
      </w:pPr>
      <w:r>
        <w:rPr>
          <w:rFonts w:hint="eastAsia"/>
          <w:sz w:val="18"/>
          <w:szCs w:val="18"/>
        </w:rPr>
        <w:t>登録免許税の特例延長</w:t>
      </w:r>
    </w:p>
    <w:p w:rsidR="00602162" w:rsidRDefault="00602162" w:rsidP="00602162">
      <w:pPr>
        <w:spacing w:after="0" w:line="240" w:lineRule="auto"/>
        <w:ind w:left="220"/>
        <w:rPr>
          <w:sz w:val="18"/>
          <w:szCs w:val="18"/>
        </w:rPr>
      </w:pPr>
      <w:r>
        <w:rPr>
          <w:rFonts w:hint="eastAsia"/>
          <w:sz w:val="18"/>
          <w:szCs w:val="18"/>
        </w:rPr>
        <w:t xml:space="preserve">　・土地の売買による所有権移転登記に対する登録免許税の税率（本則２％、特例１</w:t>
      </w:r>
      <w:r>
        <w:rPr>
          <w:rFonts w:hint="eastAsia"/>
          <w:sz w:val="18"/>
          <w:szCs w:val="18"/>
        </w:rPr>
        <w:t>.</w:t>
      </w:r>
      <w:r>
        <w:rPr>
          <w:rFonts w:hint="eastAsia"/>
          <w:sz w:val="18"/>
          <w:szCs w:val="18"/>
        </w:rPr>
        <w:t>５％）が２年延長</w:t>
      </w:r>
    </w:p>
    <w:p w:rsidR="00602162" w:rsidRDefault="00602162" w:rsidP="00602162">
      <w:pPr>
        <w:spacing w:after="0" w:line="240" w:lineRule="auto"/>
        <w:ind w:left="220"/>
        <w:rPr>
          <w:sz w:val="18"/>
          <w:szCs w:val="18"/>
        </w:rPr>
      </w:pPr>
      <w:r>
        <w:rPr>
          <w:rFonts w:hint="eastAsia"/>
          <w:sz w:val="18"/>
          <w:szCs w:val="18"/>
        </w:rPr>
        <w:t xml:space="preserve">　・住宅用家屋の所有権の保存登記に対する登録免許税の税率（本則０</w:t>
      </w:r>
      <w:r>
        <w:rPr>
          <w:rFonts w:hint="eastAsia"/>
          <w:sz w:val="18"/>
          <w:szCs w:val="18"/>
        </w:rPr>
        <w:t>.</w:t>
      </w:r>
      <w:r>
        <w:rPr>
          <w:rFonts w:hint="eastAsia"/>
          <w:sz w:val="18"/>
          <w:szCs w:val="18"/>
        </w:rPr>
        <w:t>４％、特例０</w:t>
      </w:r>
      <w:r>
        <w:rPr>
          <w:rFonts w:hint="eastAsia"/>
          <w:sz w:val="18"/>
          <w:szCs w:val="18"/>
        </w:rPr>
        <w:t>.</w:t>
      </w:r>
      <w:r>
        <w:rPr>
          <w:rFonts w:hint="eastAsia"/>
          <w:sz w:val="18"/>
          <w:szCs w:val="18"/>
        </w:rPr>
        <w:t>１５％）が３年延長</w:t>
      </w:r>
    </w:p>
    <w:p w:rsidR="00602162" w:rsidRDefault="00602162" w:rsidP="00602162">
      <w:pPr>
        <w:spacing w:after="0" w:line="240" w:lineRule="auto"/>
        <w:ind w:left="220"/>
        <w:rPr>
          <w:sz w:val="18"/>
          <w:szCs w:val="18"/>
        </w:rPr>
      </w:pPr>
      <w:r>
        <w:rPr>
          <w:rFonts w:hint="eastAsia"/>
          <w:sz w:val="18"/>
          <w:szCs w:val="18"/>
        </w:rPr>
        <w:t xml:space="preserve">　・住宅用家屋の所有権移転登記に対する登録免許税の税率（本則２％、特例０</w:t>
      </w:r>
      <w:r>
        <w:rPr>
          <w:rFonts w:hint="eastAsia"/>
          <w:sz w:val="18"/>
          <w:szCs w:val="18"/>
        </w:rPr>
        <w:t>.</w:t>
      </w:r>
      <w:r>
        <w:rPr>
          <w:rFonts w:hint="eastAsia"/>
          <w:sz w:val="18"/>
          <w:szCs w:val="18"/>
        </w:rPr>
        <w:t>３％）が３年延長</w:t>
      </w:r>
    </w:p>
    <w:p w:rsidR="00602162" w:rsidRDefault="00602162" w:rsidP="00602162">
      <w:pPr>
        <w:spacing w:after="0" w:line="240" w:lineRule="auto"/>
        <w:ind w:leftChars="100" w:left="580" w:hangingChars="200" w:hanging="360"/>
        <w:rPr>
          <w:sz w:val="18"/>
          <w:szCs w:val="18"/>
        </w:rPr>
      </w:pPr>
      <w:r>
        <w:rPr>
          <w:rFonts w:hint="eastAsia"/>
          <w:sz w:val="18"/>
          <w:szCs w:val="18"/>
        </w:rPr>
        <w:t xml:space="preserve">　・住宅取得資金の貸付等に係る抵当権の設定登記に対する登録免許税の税率（本則０</w:t>
      </w:r>
      <w:r>
        <w:rPr>
          <w:rFonts w:hint="eastAsia"/>
          <w:sz w:val="18"/>
          <w:szCs w:val="18"/>
        </w:rPr>
        <w:t>.</w:t>
      </w:r>
      <w:r>
        <w:rPr>
          <w:rFonts w:hint="eastAsia"/>
          <w:sz w:val="18"/>
          <w:szCs w:val="18"/>
        </w:rPr>
        <w:t>４％　特例０</w:t>
      </w:r>
      <w:r>
        <w:rPr>
          <w:rFonts w:hint="eastAsia"/>
          <w:sz w:val="18"/>
          <w:szCs w:val="18"/>
        </w:rPr>
        <w:t>.</w:t>
      </w:r>
      <w:r>
        <w:rPr>
          <w:rFonts w:hint="eastAsia"/>
          <w:sz w:val="18"/>
          <w:szCs w:val="18"/>
        </w:rPr>
        <w:t>１％）が３年延長</w:t>
      </w:r>
    </w:p>
    <w:p w:rsidR="00602162" w:rsidRPr="00602162" w:rsidRDefault="00602162" w:rsidP="00602162">
      <w:pPr>
        <w:spacing w:after="0" w:line="240" w:lineRule="auto"/>
        <w:ind w:leftChars="100" w:left="580" w:hangingChars="200" w:hanging="360"/>
        <w:rPr>
          <w:sz w:val="18"/>
          <w:szCs w:val="18"/>
        </w:rPr>
      </w:pPr>
    </w:p>
    <w:p w:rsidR="006368C5" w:rsidRPr="00131D1B" w:rsidRDefault="006368C5" w:rsidP="00AC1FB4">
      <w:pPr>
        <w:pStyle w:val="a7"/>
        <w:numPr>
          <w:ilvl w:val="0"/>
          <w:numId w:val="2"/>
        </w:numPr>
        <w:spacing w:after="0"/>
        <w:ind w:leftChars="0"/>
        <w:rPr>
          <w:sz w:val="18"/>
          <w:szCs w:val="18"/>
        </w:rPr>
      </w:pPr>
      <w:r w:rsidRPr="00131D1B">
        <w:rPr>
          <w:rFonts w:hint="eastAsia"/>
          <w:sz w:val="18"/>
          <w:szCs w:val="18"/>
        </w:rPr>
        <w:t>その他</w:t>
      </w:r>
    </w:p>
    <w:p w:rsidR="00B9669C" w:rsidRDefault="00B9669C" w:rsidP="00B9669C">
      <w:pPr>
        <w:pStyle w:val="a7"/>
        <w:numPr>
          <w:ilvl w:val="0"/>
          <w:numId w:val="8"/>
        </w:numPr>
        <w:spacing w:after="0" w:line="240" w:lineRule="auto"/>
        <w:ind w:leftChars="0"/>
        <w:rPr>
          <w:sz w:val="18"/>
          <w:szCs w:val="18"/>
        </w:rPr>
      </w:pPr>
      <w:r>
        <w:rPr>
          <w:rFonts w:hint="eastAsia"/>
          <w:sz w:val="18"/>
          <w:szCs w:val="18"/>
        </w:rPr>
        <w:t>物納財産の順位変更</w:t>
      </w:r>
      <w:r w:rsidR="00411B17">
        <w:rPr>
          <w:rFonts w:hint="eastAsia"/>
          <w:sz w:val="18"/>
          <w:szCs w:val="18"/>
        </w:rPr>
        <w:t>及び物納財産の追加</w:t>
      </w:r>
    </w:p>
    <w:p w:rsidR="00806F2A" w:rsidRPr="00806F2A" w:rsidRDefault="00411B17" w:rsidP="00806F2A">
      <w:pPr>
        <w:pStyle w:val="a7"/>
        <w:spacing w:after="0" w:line="240" w:lineRule="auto"/>
        <w:ind w:leftChars="0" w:left="640"/>
        <w:rPr>
          <w:sz w:val="18"/>
          <w:szCs w:val="18"/>
        </w:rPr>
      </w:pPr>
      <w:r>
        <w:rPr>
          <w:rFonts w:hint="eastAsia"/>
          <w:sz w:val="18"/>
          <w:szCs w:val="18"/>
        </w:rPr>
        <w:t>金融商品取引所に上場されている株式・社債・証券投資信託が、国債・不動産と同順位（第一順位）に変更され</w:t>
      </w:r>
      <w:r w:rsidR="00806F2A">
        <w:rPr>
          <w:rFonts w:hint="eastAsia"/>
          <w:sz w:val="18"/>
          <w:szCs w:val="18"/>
        </w:rPr>
        <w:t>、</w:t>
      </w:r>
      <w:r>
        <w:rPr>
          <w:rFonts w:hint="eastAsia"/>
          <w:sz w:val="18"/>
          <w:szCs w:val="18"/>
        </w:rPr>
        <w:t>金融商品取引所に上場されている投資証券等が第一順位の物納財産に追加される。</w:t>
      </w:r>
    </w:p>
    <w:p w:rsidR="00B9669C" w:rsidRDefault="00B9669C" w:rsidP="00B9669C">
      <w:pPr>
        <w:pStyle w:val="a7"/>
        <w:numPr>
          <w:ilvl w:val="0"/>
          <w:numId w:val="8"/>
        </w:numPr>
        <w:spacing w:after="0" w:line="240" w:lineRule="auto"/>
        <w:ind w:leftChars="0"/>
        <w:rPr>
          <w:sz w:val="18"/>
          <w:szCs w:val="18"/>
        </w:rPr>
      </w:pPr>
      <w:r>
        <w:rPr>
          <w:rFonts w:hint="eastAsia"/>
          <w:sz w:val="18"/>
          <w:szCs w:val="18"/>
        </w:rPr>
        <w:t>取引相場のない株式の評価方法の見直し</w:t>
      </w:r>
    </w:p>
    <w:p w:rsidR="00411B17" w:rsidRDefault="00806F2A" w:rsidP="00806F2A">
      <w:pPr>
        <w:spacing w:after="0" w:line="240" w:lineRule="auto"/>
        <w:ind w:left="220"/>
        <w:rPr>
          <w:sz w:val="18"/>
          <w:szCs w:val="18"/>
        </w:rPr>
      </w:pPr>
      <w:r>
        <w:rPr>
          <w:rFonts w:hint="eastAsia"/>
          <w:sz w:val="18"/>
          <w:szCs w:val="18"/>
        </w:rPr>
        <w:t xml:space="preserve">　・類似業種の上場株式の株価に、課税時期の属する月以前２年間平均を追加</w:t>
      </w:r>
    </w:p>
    <w:p w:rsidR="00806F2A" w:rsidRDefault="00806F2A" w:rsidP="00806F2A">
      <w:pPr>
        <w:spacing w:after="0" w:line="240" w:lineRule="auto"/>
        <w:ind w:left="220"/>
        <w:rPr>
          <w:sz w:val="18"/>
          <w:szCs w:val="18"/>
        </w:rPr>
      </w:pPr>
      <w:r>
        <w:rPr>
          <w:rFonts w:hint="eastAsia"/>
          <w:sz w:val="18"/>
          <w:szCs w:val="18"/>
        </w:rPr>
        <w:t xml:space="preserve">　・類似業種の上場株式の配当、利益、簿価純資産の金額を連結決算ベースとする</w:t>
      </w:r>
    </w:p>
    <w:p w:rsidR="00806F2A" w:rsidRDefault="00806F2A" w:rsidP="00806F2A">
      <w:pPr>
        <w:spacing w:after="0" w:line="240" w:lineRule="auto"/>
        <w:ind w:left="220"/>
        <w:rPr>
          <w:sz w:val="18"/>
          <w:szCs w:val="18"/>
        </w:rPr>
      </w:pPr>
      <w:r>
        <w:rPr>
          <w:rFonts w:hint="eastAsia"/>
          <w:sz w:val="18"/>
          <w:szCs w:val="18"/>
        </w:rPr>
        <w:t xml:space="preserve">　・類似業種の配当、利益、簿価純資産の比重を、現行の１：３：１から１：１：１とする</w:t>
      </w:r>
    </w:p>
    <w:p w:rsidR="00806F2A" w:rsidRDefault="00806F2A" w:rsidP="00806F2A">
      <w:pPr>
        <w:spacing w:after="0" w:line="240" w:lineRule="auto"/>
        <w:ind w:left="220"/>
        <w:rPr>
          <w:sz w:val="18"/>
          <w:szCs w:val="18"/>
        </w:rPr>
      </w:pPr>
      <w:r>
        <w:rPr>
          <w:rFonts w:hint="eastAsia"/>
          <w:sz w:val="18"/>
          <w:szCs w:val="18"/>
        </w:rPr>
        <w:t xml:space="preserve">　・評価会社の規模区分の判定について、大会社と中会社の適用範囲を拡大する</w:t>
      </w:r>
    </w:p>
    <w:p w:rsidR="00806F2A" w:rsidRDefault="00806F2A" w:rsidP="00806F2A">
      <w:pPr>
        <w:spacing w:after="0" w:line="240" w:lineRule="auto"/>
        <w:ind w:left="220"/>
        <w:rPr>
          <w:color w:val="2F5496" w:themeColor="accent5" w:themeShade="BF"/>
          <w:sz w:val="18"/>
          <w:szCs w:val="18"/>
        </w:rPr>
      </w:pPr>
      <w:r>
        <w:rPr>
          <w:rFonts w:hint="eastAsia"/>
          <w:sz w:val="18"/>
          <w:szCs w:val="18"/>
        </w:rPr>
        <w:t xml:space="preserve">　・</w:t>
      </w:r>
      <w:r w:rsidR="00D57542">
        <w:rPr>
          <w:rFonts w:hint="eastAsia"/>
          <w:sz w:val="18"/>
          <w:szCs w:val="18"/>
        </w:rPr>
        <w:t xml:space="preserve">株式保有特定会社の判定基準に新株予約権付社債を追加する　</w:t>
      </w:r>
      <w:r w:rsidR="00D57542" w:rsidRPr="00D57542">
        <w:rPr>
          <w:rFonts w:hint="eastAsia"/>
          <w:color w:val="2F5496" w:themeColor="accent5" w:themeShade="BF"/>
          <w:sz w:val="18"/>
          <w:szCs w:val="18"/>
        </w:rPr>
        <w:t>※１</w:t>
      </w:r>
    </w:p>
    <w:p w:rsidR="00B2597F" w:rsidRDefault="00B2597F" w:rsidP="00806F2A">
      <w:pPr>
        <w:spacing w:after="0" w:line="240" w:lineRule="auto"/>
        <w:ind w:left="220"/>
        <w:rPr>
          <w:color w:val="2F5496" w:themeColor="accent5" w:themeShade="BF"/>
          <w:sz w:val="18"/>
          <w:szCs w:val="18"/>
        </w:rPr>
      </w:pPr>
    </w:p>
    <w:p w:rsidR="00B2597F" w:rsidRPr="00806F2A" w:rsidRDefault="00B2597F" w:rsidP="00806F2A">
      <w:pPr>
        <w:spacing w:after="0" w:line="240" w:lineRule="auto"/>
        <w:ind w:left="220"/>
        <w:rPr>
          <w:sz w:val="18"/>
          <w:szCs w:val="18"/>
        </w:rPr>
      </w:pPr>
    </w:p>
    <w:p w:rsidR="00B9669C" w:rsidRDefault="00B9669C" w:rsidP="00B9669C">
      <w:pPr>
        <w:pStyle w:val="a7"/>
        <w:numPr>
          <w:ilvl w:val="0"/>
          <w:numId w:val="8"/>
        </w:numPr>
        <w:spacing w:after="0" w:line="240" w:lineRule="auto"/>
        <w:ind w:leftChars="0"/>
        <w:rPr>
          <w:sz w:val="18"/>
          <w:szCs w:val="18"/>
        </w:rPr>
      </w:pPr>
      <w:r>
        <w:rPr>
          <w:rFonts w:hint="eastAsia"/>
          <w:sz w:val="18"/>
          <w:szCs w:val="18"/>
        </w:rPr>
        <w:lastRenderedPageBreak/>
        <w:t>広大地評価の見直し</w:t>
      </w:r>
    </w:p>
    <w:p w:rsidR="00806F2A" w:rsidRPr="00806F2A" w:rsidRDefault="00806F2A" w:rsidP="00806F2A">
      <w:pPr>
        <w:spacing w:after="0" w:line="240" w:lineRule="auto"/>
        <w:ind w:left="640"/>
        <w:rPr>
          <w:sz w:val="18"/>
          <w:szCs w:val="18"/>
        </w:rPr>
      </w:pPr>
      <w:r>
        <w:rPr>
          <w:rFonts w:hint="eastAsia"/>
          <w:sz w:val="18"/>
          <w:szCs w:val="18"/>
        </w:rPr>
        <w:t>広大地評価の計算方法を現行の面積に比例して減額する方法から、土地の形状や面積に応じて評価する方法に変更し、適用要件を明確化する。</w:t>
      </w:r>
      <w:r w:rsidR="00D57542" w:rsidRPr="00D57542">
        <w:rPr>
          <w:rFonts w:hint="eastAsia"/>
          <w:color w:val="2F5496" w:themeColor="accent5" w:themeShade="BF"/>
          <w:sz w:val="18"/>
          <w:szCs w:val="18"/>
        </w:rPr>
        <w:t>※１</w:t>
      </w:r>
    </w:p>
    <w:p w:rsidR="00D57542" w:rsidRDefault="00D57542" w:rsidP="00D57542">
      <w:pPr>
        <w:pStyle w:val="a7"/>
        <w:spacing w:after="0"/>
        <w:ind w:leftChars="300" w:left="1560" w:hangingChars="500" w:hanging="900"/>
        <w:rPr>
          <w:color w:val="2F5496" w:themeColor="accent5" w:themeShade="BF"/>
          <w:sz w:val="18"/>
          <w:szCs w:val="18"/>
        </w:rPr>
      </w:pPr>
      <w:r w:rsidRPr="00621A34">
        <w:rPr>
          <w:rFonts w:hint="eastAsia"/>
          <w:color w:val="2F5496" w:themeColor="accent5" w:themeShade="BF"/>
          <w:sz w:val="18"/>
          <w:szCs w:val="18"/>
        </w:rPr>
        <w:t>適用時期：</w:t>
      </w:r>
      <w:r>
        <w:rPr>
          <w:rFonts w:hint="eastAsia"/>
          <w:color w:val="2F5496" w:themeColor="accent5" w:themeShade="BF"/>
          <w:sz w:val="18"/>
          <w:szCs w:val="18"/>
        </w:rPr>
        <w:t>平成２９年１月１日以後の相続等により取得した財産の評価に適用</w:t>
      </w:r>
    </w:p>
    <w:p w:rsidR="00D57542" w:rsidRDefault="00D57542" w:rsidP="00D57542">
      <w:pPr>
        <w:pStyle w:val="a7"/>
        <w:spacing w:after="0"/>
        <w:ind w:leftChars="700" w:left="1720" w:hangingChars="100" w:hanging="180"/>
        <w:rPr>
          <w:color w:val="2F5496" w:themeColor="accent5" w:themeShade="BF"/>
          <w:sz w:val="18"/>
          <w:szCs w:val="18"/>
        </w:rPr>
      </w:pPr>
      <w:r>
        <w:rPr>
          <w:rFonts w:hint="eastAsia"/>
          <w:color w:val="2F5496" w:themeColor="accent5" w:themeShade="BF"/>
          <w:sz w:val="18"/>
          <w:szCs w:val="18"/>
        </w:rPr>
        <w:t>※１については、平　　成３０年１月１日以後の相続等により取得した財産の評価に適用する。</w:t>
      </w:r>
    </w:p>
    <w:p w:rsidR="00B9669C" w:rsidRPr="00131D1B" w:rsidRDefault="00B9669C" w:rsidP="00AC1FB4">
      <w:pPr>
        <w:spacing w:after="0"/>
        <w:rPr>
          <w:sz w:val="18"/>
          <w:szCs w:val="18"/>
        </w:rPr>
      </w:pPr>
    </w:p>
    <w:p w:rsidR="00775F9E" w:rsidRPr="00131D1B" w:rsidRDefault="00775F9E" w:rsidP="00AC1FB4">
      <w:pPr>
        <w:spacing w:after="0"/>
        <w:rPr>
          <w:b/>
          <w:sz w:val="18"/>
          <w:szCs w:val="18"/>
          <w:bdr w:val="single" w:sz="4" w:space="0" w:color="auto"/>
        </w:rPr>
      </w:pPr>
      <w:r w:rsidRPr="00131D1B">
        <w:rPr>
          <w:rFonts w:hint="eastAsia"/>
          <w:b/>
          <w:sz w:val="18"/>
          <w:szCs w:val="18"/>
          <w:bdr w:val="single" w:sz="4" w:space="0" w:color="auto"/>
        </w:rPr>
        <w:t>Ⅲ</w:t>
      </w:r>
      <w:r w:rsidR="00410485" w:rsidRPr="00131D1B">
        <w:rPr>
          <w:rFonts w:hint="eastAsia"/>
          <w:b/>
          <w:sz w:val="18"/>
          <w:szCs w:val="18"/>
          <w:bdr w:val="single" w:sz="4" w:space="0" w:color="auto"/>
        </w:rPr>
        <w:t xml:space="preserve">　</w:t>
      </w:r>
      <w:r w:rsidRPr="00131D1B">
        <w:rPr>
          <w:rFonts w:hint="eastAsia"/>
          <w:b/>
          <w:sz w:val="18"/>
          <w:szCs w:val="18"/>
          <w:bdr w:val="single" w:sz="4" w:space="0" w:color="auto"/>
        </w:rPr>
        <w:t>法人課税</w:t>
      </w:r>
      <w:r w:rsidR="004A5DED" w:rsidRPr="00131D1B">
        <w:rPr>
          <w:rFonts w:hint="eastAsia"/>
          <w:b/>
          <w:sz w:val="18"/>
          <w:szCs w:val="18"/>
          <w:bdr w:val="single" w:sz="4" w:space="0" w:color="auto"/>
        </w:rPr>
        <w:t xml:space="preserve">（法人税）　</w:t>
      </w:r>
    </w:p>
    <w:p w:rsidR="00775F9E" w:rsidRPr="00131D1B" w:rsidRDefault="006368C5" w:rsidP="00AC1FB4">
      <w:pPr>
        <w:pStyle w:val="a7"/>
        <w:numPr>
          <w:ilvl w:val="0"/>
          <w:numId w:val="3"/>
        </w:numPr>
        <w:spacing w:after="0"/>
        <w:ind w:leftChars="0"/>
        <w:rPr>
          <w:sz w:val="18"/>
          <w:szCs w:val="18"/>
        </w:rPr>
      </w:pPr>
      <w:r w:rsidRPr="00131D1B">
        <w:rPr>
          <w:rFonts w:hint="eastAsia"/>
          <w:sz w:val="18"/>
          <w:szCs w:val="18"/>
        </w:rPr>
        <w:t>研究開発税制</w:t>
      </w:r>
      <w:r w:rsidR="00B406CE">
        <w:rPr>
          <w:rFonts w:hint="eastAsia"/>
          <w:sz w:val="18"/>
          <w:szCs w:val="18"/>
        </w:rPr>
        <w:t>（試験研究を行った場合の税額控除制度）</w:t>
      </w:r>
      <w:r w:rsidRPr="00131D1B">
        <w:rPr>
          <w:rFonts w:hint="eastAsia"/>
          <w:sz w:val="18"/>
          <w:szCs w:val="18"/>
        </w:rPr>
        <w:t>の見直し</w:t>
      </w:r>
    </w:p>
    <w:p w:rsidR="00B406CE" w:rsidRDefault="00B406CE" w:rsidP="00B406CE">
      <w:pPr>
        <w:pStyle w:val="a7"/>
        <w:numPr>
          <w:ilvl w:val="0"/>
          <w:numId w:val="8"/>
        </w:numPr>
        <w:spacing w:after="0" w:line="240" w:lineRule="auto"/>
        <w:ind w:leftChars="0"/>
        <w:rPr>
          <w:sz w:val="18"/>
          <w:szCs w:val="18"/>
        </w:rPr>
      </w:pPr>
      <w:r>
        <w:rPr>
          <w:rFonts w:hint="eastAsia"/>
          <w:sz w:val="18"/>
          <w:szCs w:val="18"/>
        </w:rPr>
        <w:t>試験研究費の総額に係る税額控除制度の控除率の計算方法の変更</w:t>
      </w:r>
    </w:p>
    <w:p w:rsidR="000175B1" w:rsidRDefault="000175B1" w:rsidP="00B406CE">
      <w:pPr>
        <w:pStyle w:val="a7"/>
        <w:numPr>
          <w:ilvl w:val="0"/>
          <w:numId w:val="8"/>
        </w:numPr>
        <w:spacing w:after="0" w:line="240" w:lineRule="auto"/>
        <w:ind w:leftChars="0"/>
        <w:rPr>
          <w:sz w:val="18"/>
          <w:szCs w:val="18"/>
        </w:rPr>
      </w:pPr>
      <w:r>
        <w:rPr>
          <w:rFonts w:hint="eastAsia"/>
          <w:sz w:val="18"/>
          <w:szCs w:val="18"/>
        </w:rPr>
        <w:t>試験研究費の増加額に係る税額控除又は平均売上金額の１０％を超える試験研究費に係る税額控除の選択できる制度について、増加額に係る税額控除の方は廃止し、適用期限を２年延長する</w:t>
      </w:r>
    </w:p>
    <w:p w:rsidR="00B406CE" w:rsidRDefault="00B406CE" w:rsidP="00B406CE">
      <w:pPr>
        <w:pStyle w:val="a7"/>
        <w:numPr>
          <w:ilvl w:val="0"/>
          <w:numId w:val="8"/>
        </w:numPr>
        <w:spacing w:after="0" w:line="240" w:lineRule="auto"/>
        <w:ind w:leftChars="0"/>
        <w:rPr>
          <w:sz w:val="18"/>
          <w:szCs w:val="18"/>
        </w:rPr>
      </w:pPr>
      <w:r>
        <w:rPr>
          <w:rFonts w:hint="eastAsia"/>
          <w:sz w:val="18"/>
          <w:szCs w:val="18"/>
        </w:rPr>
        <w:t>試験研究費の総額に係る税額控除制度の控除率の上限変更（原則１０％、特例１４％）</w:t>
      </w:r>
    </w:p>
    <w:p w:rsidR="00B406CE" w:rsidRDefault="00B406CE" w:rsidP="00B406CE">
      <w:pPr>
        <w:pStyle w:val="a7"/>
        <w:numPr>
          <w:ilvl w:val="0"/>
          <w:numId w:val="8"/>
        </w:numPr>
        <w:spacing w:after="0" w:line="240" w:lineRule="auto"/>
        <w:ind w:leftChars="0"/>
        <w:rPr>
          <w:sz w:val="18"/>
          <w:szCs w:val="18"/>
        </w:rPr>
      </w:pPr>
      <w:r>
        <w:rPr>
          <w:rFonts w:hint="eastAsia"/>
          <w:sz w:val="18"/>
          <w:szCs w:val="18"/>
        </w:rPr>
        <w:t>試験研究費の範囲に一定の費用を追加</w:t>
      </w:r>
      <w:r w:rsidR="000175B1">
        <w:rPr>
          <w:rFonts w:hint="eastAsia"/>
          <w:sz w:val="18"/>
          <w:szCs w:val="18"/>
        </w:rPr>
        <w:t xml:space="preserve">　等</w:t>
      </w:r>
    </w:p>
    <w:p w:rsidR="000175B1" w:rsidRPr="00B406CE" w:rsidRDefault="000175B1" w:rsidP="000175B1">
      <w:pPr>
        <w:pStyle w:val="a7"/>
        <w:spacing w:after="0" w:line="240" w:lineRule="auto"/>
        <w:ind w:leftChars="0" w:left="640"/>
        <w:rPr>
          <w:sz w:val="18"/>
          <w:szCs w:val="18"/>
        </w:rPr>
      </w:pPr>
    </w:p>
    <w:p w:rsidR="006368C5" w:rsidRPr="00131D1B" w:rsidRDefault="006368C5" w:rsidP="00AC1FB4">
      <w:pPr>
        <w:pStyle w:val="a7"/>
        <w:numPr>
          <w:ilvl w:val="0"/>
          <w:numId w:val="3"/>
        </w:numPr>
        <w:spacing w:after="0"/>
        <w:ind w:leftChars="0"/>
        <w:rPr>
          <w:sz w:val="18"/>
          <w:szCs w:val="18"/>
        </w:rPr>
      </w:pPr>
      <w:r w:rsidRPr="00131D1B">
        <w:rPr>
          <w:rFonts w:hint="eastAsia"/>
          <w:sz w:val="18"/>
          <w:szCs w:val="18"/>
        </w:rPr>
        <w:t>所得拡大税制の見直し</w:t>
      </w:r>
    </w:p>
    <w:p w:rsidR="00A96947" w:rsidRDefault="00A96947" w:rsidP="00A96947">
      <w:pPr>
        <w:pStyle w:val="a7"/>
        <w:numPr>
          <w:ilvl w:val="0"/>
          <w:numId w:val="8"/>
        </w:numPr>
        <w:spacing w:after="0" w:line="240" w:lineRule="auto"/>
        <w:ind w:leftChars="0"/>
        <w:rPr>
          <w:sz w:val="18"/>
          <w:szCs w:val="18"/>
        </w:rPr>
      </w:pPr>
      <w:r>
        <w:rPr>
          <w:rFonts w:hint="eastAsia"/>
          <w:sz w:val="18"/>
          <w:szCs w:val="18"/>
        </w:rPr>
        <w:t>適用要件と控除税額の変更</w:t>
      </w:r>
    </w:p>
    <w:p w:rsidR="000175B1" w:rsidRDefault="000175B1" w:rsidP="000175B1">
      <w:pPr>
        <w:pStyle w:val="a7"/>
        <w:spacing w:after="0" w:line="240" w:lineRule="auto"/>
        <w:ind w:leftChars="0" w:left="640"/>
        <w:rPr>
          <w:sz w:val="18"/>
          <w:szCs w:val="18"/>
        </w:rPr>
      </w:pPr>
    </w:p>
    <w:p w:rsidR="006368C5" w:rsidRPr="00131D1B" w:rsidRDefault="00B90C64" w:rsidP="00AC1FB4">
      <w:pPr>
        <w:pStyle w:val="a7"/>
        <w:numPr>
          <w:ilvl w:val="0"/>
          <w:numId w:val="3"/>
        </w:numPr>
        <w:spacing w:after="0"/>
        <w:ind w:leftChars="0"/>
        <w:rPr>
          <w:sz w:val="18"/>
          <w:szCs w:val="18"/>
        </w:rPr>
      </w:pPr>
      <w:r>
        <w:rPr>
          <w:rFonts w:hint="eastAsia"/>
          <w:sz w:val="18"/>
          <w:szCs w:val="18"/>
        </w:rPr>
        <w:t>コーポレートガバナンス改革</w:t>
      </w:r>
      <w:r w:rsidR="006368C5" w:rsidRPr="00131D1B">
        <w:rPr>
          <w:rFonts w:hint="eastAsia"/>
          <w:sz w:val="18"/>
          <w:szCs w:val="18"/>
        </w:rPr>
        <w:t>の環境整備</w:t>
      </w:r>
    </w:p>
    <w:p w:rsidR="00B90C64" w:rsidRDefault="00B90C64" w:rsidP="00B90C64">
      <w:pPr>
        <w:pStyle w:val="a7"/>
        <w:numPr>
          <w:ilvl w:val="0"/>
          <w:numId w:val="8"/>
        </w:numPr>
        <w:spacing w:after="0" w:line="240" w:lineRule="auto"/>
        <w:ind w:leftChars="0"/>
        <w:rPr>
          <w:sz w:val="18"/>
          <w:szCs w:val="18"/>
        </w:rPr>
      </w:pPr>
      <w:r>
        <w:rPr>
          <w:rFonts w:hint="eastAsia"/>
          <w:sz w:val="18"/>
          <w:szCs w:val="18"/>
        </w:rPr>
        <w:t>申告期限の延長特例の見直し</w:t>
      </w:r>
    </w:p>
    <w:p w:rsidR="00B90C64" w:rsidRDefault="00B90C64" w:rsidP="00B90C64">
      <w:pPr>
        <w:pStyle w:val="a7"/>
        <w:spacing w:after="0" w:line="240" w:lineRule="auto"/>
        <w:ind w:leftChars="0" w:left="640"/>
        <w:rPr>
          <w:sz w:val="18"/>
          <w:szCs w:val="18"/>
        </w:rPr>
      </w:pPr>
      <w:r>
        <w:rPr>
          <w:rFonts w:hint="eastAsia"/>
          <w:sz w:val="18"/>
          <w:szCs w:val="18"/>
        </w:rPr>
        <w:t>会計監査人を置いている法人で、定款等の定めにより事業年度終了の日から３カ月以内に定時株主総会が開催されない状況にある法人は、４カ月を超えない範囲で提出期限の延長を認める。</w:t>
      </w:r>
    </w:p>
    <w:p w:rsidR="00B90C64" w:rsidRDefault="00B90C64" w:rsidP="00B90C64">
      <w:pPr>
        <w:pStyle w:val="a7"/>
        <w:numPr>
          <w:ilvl w:val="0"/>
          <w:numId w:val="8"/>
        </w:numPr>
        <w:spacing w:after="0" w:line="240" w:lineRule="auto"/>
        <w:ind w:leftChars="0"/>
        <w:rPr>
          <w:sz w:val="18"/>
          <w:szCs w:val="18"/>
        </w:rPr>
      </w:pPr>
      <w:r>
        <w:rPr>
          <w:rFonts w:hint="eastAsia"/>
          <w:sz w:val="18"/>
          <w:szCs w:val="18"/>
        </w:rPr>
        <w:t>利益連動給与についての見直し</w:t>
      </w:r>
    </w:p>
    <w:p w:rsidR="00775C4E" w:rsidRDefault="00775C4E" w:rsidP="00775C4E">
      <w:pPr>
        <w:pStyle w:val="a7"/>
        <w:spacing w:after="0" w:line="240" w:lineRule="auto"/>
        <w:ind w:leftChars="0" w:left="640"/>
        <w:rPr>
          <w:sz w:val="18"/>
          <w:szCs w:val="18"/>
        </w:rPr>
      </w:pPr>
      <w:r>
        <w:rPr>
          <w:rFonts w:hint="eastAsia"/>
          <w:sz w:val="18"/>
          <w:szCs w:val="18"/>
        </w:rPr>
        <w:t>・非同族会社との間に完全支配関係がある同族会社が支給する給与を対象にする。</w:t>
      </w:r>
    </w:p>
    <w:p w:rsidR="00775C4E" w:rsidRDefault="00775C4E" w:rsidP="00775C4E">
      <w:pPr>
        <w:pStyle w:val="a7"/>
        <w:spacing w:after="0" w:line="240" w:lineRule="auto"/>
        <w:ind w:leftChars="0" w:left="640"/>
        <w:rPr>
          <w:sz w:val="18"/>
          <w:szCs w:val="18"/>
        </w:rPr>
      </w:pPr>
      <w:r>
        <w:rPr>
          <w:rFonts w:hint="eastAsia"/>
          <w:sz w:val="18"/>
          <w:szCs w:val="18"/>
        </w:rPr>
        <w:t>・算定指標の範囲に、株式の市場価格の状況を示す指標及び売上高の状況を示す指標を加える。</w:t>
      </w:r>
    </w:p>
    <w:p w:rsidR="00B90C64" w:rsidRDefault="00B2597F" w:rsidP="00B90C64">
      <w:pPr>
        <w:pStyle w:val="a7"/>
        <w:numPr>
          <w:ilvl w:val="0"/>
          <w:numId w:val="8"/>
        </w:numPr>
        <w:spacing w:after="0" w:line="240" w:lineRule="auto"/>
        <w:ind w:leftChars="0"/>
        <w:rPr>
          <w:sz w:val="18"/>
          <w:szCs w:val="18"/>
        </w:rPr>
      </w:pPr>
      <w:r>
        <w:rPr>
          <w:rFonts w:hint="eastAsia"/>
          <w:sz w:val="18"/>
          <w:szCs w:val="18"/>
        </w:rPr>
        <w:t>定期同額給与の範囲の追加</w:t>
      </w:r>
    </w:p>
    <w:p w:rsidR="00B2597F" w:rsidRDefault="00B2597F" w:rsidP="00B2597F">
      <w:pPr>
        <w:pStyle w:val="a7"/>
        <w:spacing w:after="0" w:line="240" w:lineRule="auto"/>
        <w:ind w:leftChars="0" w:left="640"/>
        <w:rPr>
          <w:sz w:val="18"/>
          <w:szCs w:val="18"/>
        </w:rPr>
      </w:pPr>
      <w:r>
        <w:rPr>
          <w:rFonts w:hint="eastAsia"/>
          <w:sz w:val="18"/>
          <w:szCs w:val="18"/>
        </w:rPr>
        <w:t>定期同額給与の範囲に、税及び社会保険料控除後の金額が同額である定期給与を加える。</w:t>
      </w:r>
    </w:p>
    <w:p w:rsidR="00B2597F" w:rsidRDefault="00B2597F" w:rsidP="00B2597F">
      <w:pPr>
        <w:pStyle w:val="a7"/>
        <w:spacing w:after="0" w:line="240" w:lineRule="auto"/>
        <w:ind w:leftChars="0" w:left="640"/>
        <w:rPr>
          <w:sz w:val="18"/>
          <w:szCs w:val="18"/>
        </w:rPr>
      </w:pPr>
    </w:p>
    <w:p w:rsidR="006368C5" w:rsidRDefault="00B2597F" w:rsidP="00AC1FB4">
      <w:pPr>
        <w:pStyle w:val="a7"/>
        <w:numPr>
          <w:ilvl w:val="0"/>
          <w:numId w:val="3"/>
        </w:numPr>
        <w:spacing w:after="0"/>
        <w:ind w:leftChars="0"/>
        <w:rPr>
          <w:sz w:val="18"/>
          <w:szCs w:val="18"/>
        </w:rPr>
      </w:pPr>
      <w:r>
        <w:rPr>
          <w:rFonts w:hint="eastAsia"/>
          <w:sz w:val="18"/>
          <w:szCs w:val="18"/>
        </w:rPr>
        <w:t>中堅・</w:t>
      </w:r>
      <w:r w:rsidR="006368C5" w:rsidRPr="00131D1B">
        <w:rPr>
          <w:rFonts w:hint="eastAsia"/>
          <w:sz w:val="18"/>
          <w:szCs w:val="18"/>
        </w:rPr>
        <w:t>中小企業</w:t>
      </w:r>
      <w:r>
        <w:rPr>
          <w:rFonts w:hint="eastAsia"/>
          <w:sz w:val="18"/>
          <w:szCs w:val="18"/>
        </w:rPr>
        <w:t>者の支援</w:t>
      </w:r>
    </w:p>
    <w:p w:rsidR="00B2597F" w:rsidRDefault="00B2597F" w:rsidP="00B2597F">
      <w:pPr>
        <w:pStyle w:val="a7"/>
        <w:numPr>
          <w:ilvl w:val="0"/>
          <w:numId w:val="8"/>
        </w:numPr>
        <w:spacing w:after="0" w:line="240" w:lineRule="auto"/>
        <w:ind w:leftChars="0"/>
        <w:rPr>
          <w:sz w:val="18"/>
          <w:szCs w:val="18"/>
        </w:rPr>
      </w:pPr>
      <w:r>
        <w:rPr>
          <w:rFonts w:hint="eastAsia"/>
          <w:sz w:val="18"/>
          <w:szCs w:val="18"/>
        </w:rPr>
        <w:t>地域中核企業向け設備投資促進税制の創設</w:t>
      </w:r>
    </w:p>
    <w:p w:rsidR="00B2597F" w:rsidRDefault="00B2597F" w:rsidP="00B2597F">
      <w:pPr>
        <w:pStyle w:val="a7"/>
        <w:spacing w:after="0" w:line="240" w:lineRule="auto"/>
        <w:ind w:leftChars="0" w:left="640"/>
        <w:rPr>
          <w:sz w:val="18"/>
          <w:szCs w:val="18"/>
        </w:rPr>
      </w:pPr>
      <w:r>
        <w:rPr>
          <w:rFonts w:hint="eastAsia"/>
          <w:sz w:val="18"/>
          <w:szCs w:val="18"/>
        </w:rPr>
        <w:t>青色申告書を提出する法人が、</w:t>
      </w:r>
      <w:r w:rsidR="00C165E4">
        <w:rPr>
          <w:rFonts w:hint="eastAsia"/>
          <w:sz w:val="18"/>
          <w:szCs w:val="18"/>
        </w:rPr>
        <w:t>特定地域中核事業施設等</w:t>
      </w:r>
      <w:r w:rsidR="000E478F">
        <w:rPr>
          <w:rFonts w:hint="eastAsia"/>
          <w:sz w:val="18"/>
          <w:szCs w:val="18"/>
        </w:rPr>
        <w:t>（特定承認地域中核事業計画に定められた施設又は設備で取得価額の合計額が２，０００万円以上のもの）</w:t>
      </w:r>
      <w:r w:rsidR="00C165E4">
        <w:rPr>
          <w:rFonts w:hint="eastAsia"/>
          <w:sz w:val="18"/>
          <w:szCs w:val="18"/>
        </w:rPr>
        <w:t>を新設又は取得し、その地域中核事業の用に供した場合には、取得価額の４０％（建物、付属設備及び構築物は２０％）の特別償却又は取得価額の４％（建物、付属設備及び構築物は２％）の税額控除を受けることが出来る。</w:t>
      </w:r>
    </w:p>
    <w:p w:rsidR="001530D1" w:rsidRDefault="001530D1" w:rsidP="001530D1">
      <w:pPr>
        <w:pStyle w:val="a7"/>
        <w:numPr>
          <w:ilvl w:val="0"/>
          <w:numId w:val="8"/>
        </w:numPr>
        <w:spacing w:after="0" w:line="240" w:lineRule="auto"/>
        <w:ind w:leftChars="0"/>
        <w:rPr>
          <w:sz w:val="18"/>
          <w:szCs w:val="18"/>
        </w:rPr>
      </w:pPr>
      <w:r>
        <w:rPr>
          <w:rFonts w:hint="eastAsia"/>
          <w:sz w:val="18"/>
          <w:szCs w:val="18"/>
        </w:rPr>
        <w:t>中小企業向け設備投資促進税制の拡充</w:t>
      </w:r>
      <w:r w:rsidR="000A7418">
        <w:rPr>
          <w:rFonts w:hint="eastAsia"/>
          <w:sz w:val="18"/>
          <w:szCs w:val="18"/>
        </w:rPr>
        <w:t>（生産性向上設備等に係る即時償却等の改組）</w:t>
      </w:r>
    </w:p>
    <w:p w:rsidR="001530D1" w:rsidRDefault="00F93856" w:rsidP="00F93856">
      <w:pPr>
        <w:pStyle w:val="a7"/>
        <w:spacing w:after="0" w:line="240" w:lineRule="auto"/>
        <w:ind w:leftChars="0" w:left="640"/>
        <w:rPr>
          <w:sz w:val="18"/>
          <w:szCs w:val="18"/>
        </w:rPr>
      </w:pPr>
      <w:r>
        <w:rPr>
          <w:rFonts w:hint="eastAsia"/>
          <w:sz w:val="18"/>
          <w:szCs w:val="18"/>
        </w:rPr>
        <w:t>青色申告書を提出する中小企業者等で中小企業等経営強化法の経営力向上計画の認定を受けたものが、</w:t>
      </w:r>
      <w:r w:rsidR="00570B92">
        <w:rPr>
          <w:rFonts w:hint="eastAsia"/>
          <w:sz w:val="18"/>
          <w:szCs w:val="18"/>
        </w:rPr>
        <w:t>平成２９年４月１日から平成３１年３月３１日までの間に、</w:t>
      </w:r>
      <w:r>
        <w:rPr>
          <w:rFonts w:hint="eastAsia"/>
          <w:sz w:val="18"/>
          <w:szCs w:val="18"/>
        </w:rPr>
        <w:t>機械装置、工具、器具備品、建物付属設備及び</w:t>
      </w:r>
      <w:r w:rsidR="000A7418">
        <w:rPr>
          <w:rFonts w:hint="eastAsia"/>
          <w:sz w:val="18"/>
          <w:szCs w:val="18"/>
        </w:rPr>
        <w:t>ソフトウェアで、特定経営力向上</w:t>
      </w:r>
      <w:r w:rsidR="00BE55A9">
        <w:rPr>
          <w:rFonts w:hint="eastAsia"/>
          <w:sz w:val="18"/>
          <w:szCs w:val="18"/>
        </w:rPr>
        <w:t>設備に該当するものを取得し、その法人の指定事業の用に供した場合には、即時償却又は取得価額の７％（特定中小企業者等については１０％）の税額控除を受けることが出来る。</w:t>
      </w:r>
    </w:p>
    <w:p w:rsidR="00926389" w:rsidRDefault="00926389" w:rsidP="00F93856">
      <w:pPr>
        <w:pStyle w:val="a7"/>
        <w:spacing w:after="0" w:line="240" w:lineRule="auto"/>
        <w:ind w:leftChars="0" w:left="640"/>
        <w:rPr>
          <w:sz w:val="18"/>
          <w:szCs w:val="18"/>
        </w:rPr>
      </w:pPr>
    </w:p>
    <w:p w:rsidR="000A7418" w:rsidRDefault="000A7418" w:rsidP="000A7418">
      <w:pPr>
        <w:pStyle w:val="a7"/>
        <w:numPr>
          <w:ilvl w:val="0"/>
          <w:numId w:val="8"/>
        </w:numPr>
        <w:spacing w:after="0" w:line="240" w:lineRule="auto"/>
        <w:ind w:leftChars="0"/>
        <w:rPr>
          <w:sz w:val="18"/>
          <w:szCs w:val="18"/>
        </w:rPr>
      </w:pPr>
      <w:r>
        <w:rPr>
          <w:rFonts w:hint="eastAsia"/>
          <w:sz w:val="18"/>
          <w:szCs w:val="18"/>
        </w:rPr>
        <w:t>中小企業投資促進税制</w:t>
      </w:r>
    </w:p>
    <w:p w:rsidR="000A7418" w:rsidRDefault="000A7418" w:rsidP="000A7418">
      <w:pPr>
        <w:pStyle w:val="a7"/>
        <w:spacing w:after="0" w:line="240" w:lineRule="auto"/>
        <w:ind w:leftChars="0" w:left="640"/>
        <w:rPr>
          <w:sz w:val="18"/>
          <w:szCs w:val="18"/>
        </w:rPr>
      </w:pPr>
      <w:r>
        <w:rPr>
          <w:rFonts w:hint="eastAsia"/>
          <w:sz w:val="18"/>
          <w:szCs w:val="18"/>
        </w:rPr>
        <w:lastRenderedPageBreak/>
        <w:t>対象資産から器具備品を除外した上で、その適用期限を２年延長する。</w:t>
      </w:r>
    </w:p>
    <w:p w:rsidR="00865D14" w:rsidRDefault="00865D14" w:rsidP="00865D14">
      <w:pPr>
        <w:pStyle w:val="a7"/>
        <w:numPr>
          <w:ilvl w:val="0"/>
          <w:numId w:val="8"/>
        </w:numPr>
        <w:spacing w:after="0" w:line="240" w:lineRule="auto"/>
        <w:ind w:leftChars="0"/>
        <w:rPr>
          <w:sz w:val="18"/>
          <w:szCs w:val="18"/>
        </w:rPr>
      </w:pPr>
      <w:r>
        <w:rPr>
          <w:rFonts w:hint="eastAsia"/>
          <w:sz w:val="18"/>
          <w:szCs w:val="18"/>
        </w:rPr>
        <w:t>中小企業者等に係る軽減税率の特例</w:t>
      </w:r>
    </w:p>
    <w:p w:rsidR="00865D14" w:rsidRDefault="00865D14" w:rsidP="00865D14">
      <w:pPr>
        <w:pStyle w:val="a7"/>
        <w:spacing w:after="0" w:line="240" w:lineRule="auto"/>
        <w:ind w:leftChars="0" w:left="640"/>
        <w:rPr>
          <w:sz w:val="18"/>
          <w:szCs w:val="18"/>
        </w:rPr>
      </w:pPr>
      <w:r>
        <w:rPr>
          <w:rFonts w:hint="eastAsia"/>
          <w:sz w:val="18"/>
          <w:szCs w:val="18"/>
        </w:rPr>
        <w:t>適用期限を２年延長する。</w:t>
      </w:r>
    </w:p>
    <w:p w:rsidR="0004014E" w:rsidRPr="00865D14" w:rsidRDefault="0004014E" w:rsidP="00F93856">
      <w:pPr>
        <w:pStyle w:val="a7"/>
        <w:spacing w:after="0" w:line="240" w:lineRule="auto"/>
        <w:ind w:leftChars="0" w:left="640"/>
        <w:rPr>
          <w:sz w:val="18"/>
          <w:szCs w:val="18"/>
        </w:rPr>
      </w:pPr>
    </w:p>
    <w:p w:rsidR="000D1C1C" w:rsidRDefault="005A7D03" w:rsidP="000D1C1C">
      <w:pPr>
        <w:pStyle w:val="a7"/>
        <w:numPr>
          <w:ilvl w:val="0"/>
          <w:numId w:val="3"/>
        </w:numPr>
        <w:spacing w:after="0"/>
        <w:ind w:leftChars="0"/>
        <w:rPr>
          <w:sz w:val="18"/>
          <w:szCs w:val="18"/>
        </w:rPr>
      </w:pPr>
      <w:r>
        <w:rPr>
          <w:rFonts w:hint="eastAsia"/>
          <w:sz w:val="18"/>
          <w:szCs w:val="18"/>
        </w:rPr>
        <w:t>地方創生</w:t>
      </w:r>
      <w:r w:rsidR="006368C5" w:rsidRPr="00131D1B">
        <w:rPr>
          <w:rFonts w:hint="eastAsia"/>
          <w:sz w:val="18"/>
          <w:szCs w:val="18"/>
        </w:rPr>
        <w:t>の推進</w:t>
      </w:r>
    </w:p>
    <w:p w:rsidR="000D1C1C" w:rsidRDefault="000D1C1C" w:rsidP="000D1C1C">
      <w:pPr>
        <w:pStyle w:val="a7"/>
        <w:numPr>
          <w:ilvl w:val="0"/>
          <w:numId w:val="8"/>
        </w:numPr>
        <w:spacing w:after="0"/>
        <w:ind w:leftChars="0"/>
        <w:rPr>
          <w:sz w:val="18"/>
          <w:szCs w:val="18"/>
        </w:rPr>
      </w:pPr>
      <w:r>
        <w:rPr>
          <w:rFonts w:hint="eastAsia"/>
          <w:sz w:val="18"/>
          <w:szCs w:val="18"/>
        </w:rPr>
        <w:t>地方活力向上地域において特定建物等を取得した場合の特別償却又は税額控除制度及び特定の地域において雇用者数が増加した場合の税額控除制度の拡充</w:t>
      </w:r>
    </w:p>
    <w:p w:rsidR="000D1C1C" w:rsidRDefault="000D1C1C" w:rsidP="000D1C1C">
      <w:pPr>
        <w:pStyle w:val="a7"/>
        <w:spacing w:after="0"/>
        <w:ind w:leftChars="0" w:left="640"/>
        <w:rPr>
          <w:sz w:val="18"/>
          <w:szCs w:val="18"/>
        </w:rPr>
      </w:pPr>
    </w:p>
    <w:p w:rsidR="006368C5" w:rsidRPr="00131D1B" w:rsidRDefault="006368C5" w:rsidP="00AC1FB4">
      <w:pPr>
        <w:pStyle w:val="a7"/>
        <w:numPr>
          <w:ilvl w:val="0"/>
          <w:numId w:val="3"/>
        </w:numPr>
        <w:spacing w:after="0"/>
        <w:ind w:leftChars="0"/>
        <w:rPr>
          <w:sz w:val="18"/>
          <w:szCs w:val="18"/>
        </w:rPr>
      </w:pPr>
      <w:r w:rsidRPr="00131D1B">
        <w:rPr>
          <w:rFonts w:hint="eastAsia"/>
          <w:sz w:val="18"/>
          <w:szCs w:val="18"/>
        </w:rPr>
        <w:t>災害に関する措置</w:t>
      </w:r>
      <w:r w:rsidR="000D1C1C">
        <w:rPr>
          <w:rFonts w:hint="eastAsia"/>
          <w:sz w:val="18"/>
          <w:szCs w:val="18"/>
        </w:rPr>
        <w:t xml:space="preserve">　⇒　別紙にて説明</w:t>
      </w:r>
    </w:p>
    <w:p w:rsidR="006368C5" w:rsidRPr="00131D1B" w:rsidRDefault="006368C5" w:rsidP="00AC1FB4">
      <w:pPr>
        <w:spacing w:after="0"/>
        <w:rPr>
          <w:sz w:val="18"/>
          <w:szCs w:val="18"/>
        </w:rPr>
      </w:pPr>
    </w:p>
    <w:p w:rsidR="006368C5" w:rsidRPr="00131D1B" w:rsidRDefault="006368C5" w:rsidP="00AC1FB4">
      <w:pPr>
        <w:pStyle w:val="a7"/>
        <w:numPr>
          <w:ilvl w:val="0"/>
          <w:numId w:val="3"/>
        </w:numPr>
        <w:spacing w:after="0"/>
        <w:ind w:leftChars="0"/>
        <w:rPr>
          <w:sz w:val="18"/>
          <w:szCs w:val="18"/>
        </w:rPr>
      </w:pPr>
      <w:r w:rsidRPr="00131D1B">
        <w:rPr>
          <w:rFonts w:hint="eastAsia"/>
          <w:sz w:val="18"/>
          <w:szCs w:val="18"/>
        </w:rPr>
        <w:t>納税環境整備</w:t>
      </w:r>
    </w:p>
    <w:p w:rsidR="00B406CE" w:rsidRDefault="00B406CE" w:rsidP="00B406CE">
      <w:pPr>
        <w:pStyle w:val="a7"/>
        <w:numPr>
          <w:ilvl w:val="0"/>
          <w:numId w:val="8"/>
        </w:numPr>
        <w:spacing w:after="0"/>
        <w:ind w:leftChars="0"/>
        <w:rPr>
          <w:sz w:val="18"/>
          <w:szCs w:val="18"/>
        </w:rPr>
      </w:pPr>
      <w:r>
        <w:rPr>
          <w:rFonts w:hint="eastAsia"/>
          <w:sz w:val="18"/>
          <w:szCs w:val="18"/>
        </w:rPr>
        <w:t>届出書の提出不要</w:t>
      </w:r>
    </w:p>
    <w:p w:rsidR="00B406CE" w:rsidRDefault="00B406CE" w:rsidP="00B406CE">
      <w:pPr>
        <w:pStyle w:val="a7"/>
        <w:spacing w:after="0"/>
        <w:ind w:leftChars="0" w:left="640"/>
        <w:rPr>
          <w:sz w:val="18"/>
          <w:szCs w:val="18"/>
        </w:rPr>
      </w:pPr>
      <w:r>
        <w:rPr>
          <w:rFonts w:hint="eastAsia"/>
          <w:sz w:val="18"/>
          <w:szCs w:val="18"/>
        </w:rPr>
        <w:t>納税地の異動に関する届出書の提出先が、「異動</w:t>
      </w:r>
      <w:r w:rsidRPr="00A91B1D">
        <w:rPr>
          <w:rFonts w:hint="eastAsia"/>
          <w:color w:val="FF0000"/>
          <w:sz w:val="18"/>
          <w:szCs w:val="18"/>
        </w:rPr>
        <w:t>前</w:t>
      </w:r>
      <w:r>
        <w:rPr>
          <w:rFonts w:hint="eastAsia"/>
          <w:sz w:val="18"/>
          <w:szCs w:val="18"/>
        </w:rPr>
        <w:t>及び異動</w:t>
      </w:r>
      <w:r w:rsidRPr="00A91B1D">
        <w:rPr>
          <w:rFonts w:hint="eastAsia"/>
          <w:color w:val="FF0000"/>
          <w:sz w:val="18"/>
          <w:szCs w:val="18"/>
        </w:rPr>
        <w:t>後</w:t>
      </w:r>
      <w:r>
        <w:rPr>
          <w:rFonts w:hint="eastAsia"/>
          <w:sz w:val="18"/>
          <w:szCs w:val="18"/>
        </w:rPr>
        <w:t>の所轄税務署長」から、「異動</w:t>
      </w:r>
      <w:r w:rsidRPr="00A91B1D">
        <w:rPr>
          <w:rFonts w:hint="eastAsia"/>
          <w:color w:val="FF0000"/>
          <w:sz w:val="18"/>
          <w:szCs w:val="18"/>
        </w:rPr>
        <w:t>前</w:t>
      </w:r>
      <w:r>
        <w:rPr>
          <w:rFonts w:hint="eastAsia"/>
          <w:sz w:val="18"/>
          <w:szCs w:val="18"/>
        </w:rPr>
        <w:t>の所轄税務署長」に変更され、異動</w:t>
      </w:r>
      <w:r w:rsidRPr="00A91B1D">
        <w:rPr>
          <w:rFonts w:hint="eastAsia"/>
          <w:color w:val="FF0000"/>
          <w:sz w:val="18"/>
          <w:szCs w:val="18"/>
        </w:rPr>
        <w:t>後</w:t>
      </w:r>
      <w:r>
        <w:rPr>
          <w:rFonts w:hint="eastAsia"/>
          <w:sz w:val="18"/>
          <w:szCs w:val="18"/>
        </w:rPr>
        <w:t>の税務署には届出が不要とされる。</w:t>
      </w:r>
    </w:p>
    <w:p w:rsidR="00A611A3" w:rsidRDefault="00A611A3" w:rsidP="00A611A3">
      <w:pPr>
        <w:pStyle w:val="a7"/>
        <w:numPr>
          <w:ilvl w:val="0"/>
          <w:numId w:val="8"/>
        </w:numPr>
        <w:spacing w:after="0"/>
        <w:ind w:leftChars="0"/>
        <w:rPr>
          <w:sz w:val="18"/>
          <w:szCs w:val="18"/>
        </w:rPr>
      </w:pPr>
      <w:r>
        <w:rPr>
          <w:rFonts w:hint="eastAsia"/>
          <w:sz w:val="18"/>
          <w:szCs w:val="18"/>
        </w:rPr>
        <w:t>設立時の添付書類の簡素化</w:t>
      </w:r>
    </w:p>
    <w:p w:rsidR="00A611A3" w:rsidRDefault="000D1C1C" w:rsidP="00A611A3">
      <w:pPr>
        <w:pStyle w:val="a7"/>
        <w:spacing w:after="0"/>
        <w:ind w:leftChars="0" w:left="640"/>
        <w:rPr>
          <w:sz w:val="18"/>
          <w:szCs w:val="18"/>
        </w:rPr>
      </w:pPr>
      <w:r>
        <w:rPr>
          <w:rFonts w:hint="eastAsia"/>
          <w:sz w:val="18"/>
          <w:szCs w:val="18"/>
        </w:rPr>
        <w:t>法人の設立届出書に登記事項証明書の添付を不要とする。</w:t>
      </w:r>
    </w:p>
    <w:p w:rsidR="000D1C1C" w:rsidRPr="000D1C1C" w:rsidRDefault="000D1C1C" w:rsidP="000D1C1C">
      <w:pPr>
        <w:spacing w:after="0"/>
        <w:rPr>
          <w:sz w:val="18"/>
          <w:szCs w:val="18"/>
        </w:rPr>
      </w:pPr>
    </w:p>
    <w:p w:rsidR="006368C5" w:rsidRPr="00131D1B" w:rsidRDefault="006368C5" w:rsidP="00AC1FB4">
      <w:pPr>
        <w:pStyle w:val="a7"/>
        <w:numPr>
          <w:ilvl w:val="0"/>
          <w:numId w:val="3"/>
        </w:numPr>
        <w:spacing w:after="0"/>
        <w:ind w:leftChars="0"/>
        <w:rPr>
          <w:sz w:val="18"/>
          <w:szCs w:val="18"/>
        </w:rPr>
      </w:pPr>
      <w:r w:rsidRPr="00131D1B">
        <w:rPr>
          <w:rFonts w:hint="eastAsia"/>
          <w:sz w:val="18"/>
          <w:szCs w:val="18"/>
        </w:rPr>
        <w:t>租税特別措置法関係</w:t>
      </w:r>
    </w:p>
    <w:p w:rsidR="00421376" w:rsidRDefault="00421376" w:rsidP="00421376">
      <w:pPr>
        <w:pStyle w:val="a7"/>
        <w:numPr>
          <w:ilvl w:val="0"/>
          <w:numId w:val="8"/>
        </w:numPr>
        <w:spacing w:after="0"/>
        <w:ind w:leftChars="0"/>
        <w:rPr>
          <w:sz w:val="18"/>
          <w:szCs w:val="18"/>
        </w:rPr>
      </w:pPr>
      <w:r>
        <w:rPr>
          <w:rFonts w:hint="eastAsia"/>
          <w:sz w:val="18"/>
          <w:szCs w:val="18"/>
        </w:rPr>
        <w:t>特定の資産の買換え特例見直し及び延長</w:t>
      </w:r>
    </w:p>
    <w:p w:rsidR="00421376" w:rsidRDefault="00421376" w:rsidP="00421376">
      <w:pPr>
        <w:spacing w:after="0"/>
        <w:ind w:leftChars="100" w:left="580" w:hangingChars="200" w:hanging="360"/>
        <w:rPr>
          <w:sz w:val="18"/>
          <w:szCs w:val="18"/>
        </w:rPr>
      </w:pPr>
      <w:r>
        <w:rPr>
          <w:rFonts w:hint="eastAsia"/>
          <w:sz w:val="18"/>
          <w:szCs w:val="18"/>
        </w:rPr>
        <w:t xml:space="preserve">　・既成市街地等の内から外への買換えについて、譲渡資産から事務所およびその敷地の用に供されていた土地等を除き、買換資産から立地適正化計画に記載された都市機能誘導区域以外の地域内にある誘導施設に該当するものに係る土地、建物及び構築物を除く。</w:t>
      </w:r>
    </w:p>
    <w:p w:rsidR="00421376" w:rsidRPr="00421376" w:rsidRDefault="00421376" w:rsidP="00421376">
      <w:pPr>
        <w:spacing w:after="0"/>
        <w:ind w:left="220"/>
        <w:rPr>
          <w:sz w:val="18"/>
          <w:szCs w:val="18"/>
        </w:rPr>
      </w:pPr>
      <w:r>
        <w:rPr>
          <w:rFonts w:hint="eastAsia"/>
          <w:sz w:val="18"/>
          <w:szCs w:val="18"/>
        </w:rPr>
        <w:t xml:space="preserve">　・適用期限を３年延長する。</w:t>
      </w:r>
    </w:p>
    <w:p w:rsidR="0004014E" w:rsidRDefault="0004014E" w:rsidP="0004014E">
      <w:pPr>
        <w:numPr>
          <w:ilvl w:val="0"/>
          <w:numId w:val="8"/>
        </w:numPr>
        <w:spacing w:after="0"/>
        <w:rPr>
          <w:sz w:val="18"/>
          <w:szCs w:val="18"/>
        </w:rPr>
      </w:pPr>
      <w:r>
        <w:rPr>
          <w:rFonts w:hint="eastAsia"/>
          <w:sz w:val="18"/>
          <w:szCs w:val="18"/>
        </w:rPr>
        <w:t>中小企業向けの租税特別措置の所得制限</w:t>
      </w:r>
    </w:p>
    <w:p w:rsidR="0004014E" w:rsidRDefault="0004014E" w:rsidP="0004014E">
      <w:pPr>
        <w:spacing w:after="0"/>
        <w:ind w:left="640"/>
        <w:rPr>
          <w:sz w:val="18"/>
          <w:szCs w:val="18"/>
        </w:rPr>
      </w:pPr>
      <w:r>
        <w:rPr>
          <w:rFonts w:hint="eastAsia"/>
          <w:sz w:val="18"/>
          <w:szCs w:val="18"/>
        </w:rPr>
        <w:t>法人税関係の中小企業向けの各租税特別措置の適用について、平均所得金額（前３事業年度の所得金額の平均）が年１５億円を超える事業年度の適用を停止する。</w:t>
      </w:r>
    </w:p>
    <w:p w:rsidR="009D1859" w:rsidRPr="00926389" w:rsidRDefault="009D1859" w:rsidP="00926389">
      <w:pPr>
        <w:spacing w:after="0"/>
        <w:rPr>
          <w:sz w:val="18"/>
          <w:szCs w:val="18"/>
        </w:rPr>
      </w:pPr>
    </w:p>
    <w:sectPr w:rsidR="009D1859" w:rsidRPr="00926389" w:rsidSect="00AD07E3">
      <w:type w:val="continuous"/>
      <w:pgSz w:w="11906" w:h="16838" w:code="9"/>
      <w:pgMar w:top="1134" w:right="1134" w:bottom="1134" w:left="1134" w:header="851" w:footer="680" w:gutter="0"/>
      <w:pgBorders w:offsetFrom="page">
        <w:top w:val="thinThickThinSmallGap" w:sz="24" w:space="24" w:color="1F3864" w:themeColor="accent5" w:themeShade="80" w:shadow="1"/>
        <w:left w:val="thinThickThinSmallGap" w:sz="24" w:space="24" w:color="1F3864" w:themeColor="accent5" w:themeShade="80" w:shadow="1"/>
        <w:bottom w:val="thinThickThinSmallGap" w:sz="24" w:space="24" w:color="1F3864" w:themeColor="accent5" w:themeShade="80" w:shadow="1"/>
        <w:right w:val="thinThickThinSmallGap" w:sz="24" w:space="24" w:color="1F3864" w:themeColor="accent5" w:themeShade="80" w:shadow="1"/>
      </w:pgBorders>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61A" w:rsidRDefault="0040161A" w:rsidP="00775F9E">
      <w:pPr>
        <w:spacing w:after="0" w:line="240" w:lineRule="auto"/>
      </w:pPr>
      <w:r>
        <w:separator/>
      </w:r>
    </w:p>
  </w:endnote>
  <w:endnote w:type="continuationSeparator" w:id="0">
    <w:p w:rsidR="0040161A" w:rsidRDefault="0040161A" w:rsidP="00775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62" w:rsidRDefault="00602162" w:rsidP="00DC715E">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61A" w:rsidRDefault="0040161A" w:rsidP="00775F9E">
      <w:pPr>
        <w:spacing w:after="0" w:line="240" w:lineRule="auto"/>
      </w:pPr>
      <w:r>
        <w:separator/>
      </w:r>
    </w:p>
  </w:footnote>
  <w:footnote w:type="continuationSeparator" w:id="0">
    <w:p w:rsidR="0040161A" w:rsidRDefault="0040161A" w:rsidP="00775F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60962"/>
    <w:multiLevelType w:val="hybridMultilevel"/>
    <w:tmpl w:val="2E5E2F8C"/>
    <w:lvl w:ilvl="0" w:tplc="04090005">
      <w:start w:val="1"/>
      <w:numFmt w:val="bullet"/>
      <w:lvlText w:val=""/>
      <w:lvlJc w:val="left"/>
      <w:pPr>
        <w:ind w:left="783" w:hanging="420"/>
      </w:pPr>
      <w:rPr>
        <w:rFonts w:ascii="Wingdings" w:hAnsi="Wingdings" w:hint="default"/>
      </w:rPr>
    </w:lvl>
    <w:lvl w:ilvl="1" w:tplc="0409000B" w:tentative="1">
      <w:start w:val="1"/>
      <w:numFmt w:val="bullet"/>
      <w:lvlText w:val=""/>
      <w:lvlJc w:val="left"/>
      <w:pPr>
        <w:ind w:left="1203" w:hanging="420"/>
      </w:pPr>
      <w:rPr>
        <w:rFonts w:ascii="Wingdings" w:hAnsi="Wingdings" w:hint="default"/>
      </w:rPr>
    </w:lvl>
    <w:lvl w:ilvl="2" w:tplc="0409000D"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B" w:tentative="1">
      <w:start w:val="1"/>
      <w:numFmt w:val="bullet"/>
      <w:lvlText w:val=""/>
      <w:lvlJc w:val="left"/>
      <w:pPr>
        <w:ind w:left="2463" w:hanging="420"/>
      </w:pPr>
      <w:rPr>
        <w:rFonts w:ascii="Wingdings" w:hAnsi="Wingdings" w:hint="default"/>
      </w:rPr>
    </w:lvl>
    <w:lvl w:ilvl="5" w:tplc="0409000D"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B" w:tentative="1">
      <w:start w:val="1"/>
      <w:numFmt w:val="bullet"/>
      <w:lvlText w:val=""/>
      <w:lvlJc w:val="left"/>
      <w:pPr>
        <w:ind w:left="3723" w:hanging="420"/>
      </w:pPr>
      <w:rPr>
        <w:rFonts w:ascii="Wingdings" w:hAnsi="Wingdings" w:hint="default"/>
      </w:rPr>
    </w:lvl>
    <w:lvl w:ilvl="8" w:tplc="0409000D" w:tentative="1">
      <w:start w:val="1"/>
      <w:numFmt w:val="bullet"/>
      <w:lvlText w:val=""/>
      <w:lvlJc w:val="left"/>
      <w:pPr>
        <w:ind w:left="4143" w:hanging="420"/>
      </w:pPr>
      <w:rPr>
        <w:rFonts w:ascii="Wingdings" w:hAnsi="Wingdings" w:hint="default"/>
      </w:rPr>
    </w:lvl>
  </w:abstractNum>
  <w:abstractNum w:abstractNumId="1" w15:restartNumberingAfterBreak="0">
    <w:nsid w:val="1B873232"/>
    <w:multiLevelType w:val="hybridMultilevel"/>
    <w:tmpl w:val="350EA7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8249C0"/>
    <w:multiLevelType w:val="hybridMultilevel"/>
    <w:tmpl w:val="1B7E0B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4DB2CB5"/>
    <w:multiLevelType w:val="hybridMultilevel"/>
    <w:tmpl w:val="CCDE1040"/>
    <w:lvl w:ilvl="0" w:tplc="04090005">
      <w:start w:val="1"/>
      <w:numFmt w:val="bullet"/>
      <w:lvlText w:val=""/>
      <w:lvlJc w:val="left"/>
      <w:pPr>
        <w:ind w:left="783" w:hanging="420"/>
      </w:pPr>
      <w:rPr>
        <w:rFonts w:ascii="Wingdings" w:hAnsi="Wingdings" w:hint="default"/>
      </w:rPr>
    </w:lvl>
    <w:lvl w:ilvl="1" w:tplc="0409000B" w:tentative="1">
      <w:start w:val="1"/>
      <w:numFmt w:val="bullet"/>
      <w:lvlText w:val=""/>
      <w:lvlJc w:val="left"/>
      <w:pPr>
        <w:ind w:left="1203" w:hanging="420"/>
      </w:pPr>
      <w:rPr>
        <w:rFonts w:ascii="Wingdings" w:hAnsi="Wingdings" w:hint="default"/>
      </w:rPr>
    </w:lvl>
    <w:lvl w:ilvl="2" w:tplc="0409000D" w:tentative="1">
      <w:start w:val="1"/>
      <w:numFmt w:val="bullet"/>
      <w:lvlText w:val=""/>
      <w:lvlJc w:val="left"/>
      <w:pPr>
        <w:ind w:left="1623" w:hanging="420"/>
      </w:pPr>
      <w:rPr>
        <w:rFonts w:ascii="Wingdings" w:hAnsi="Wingdings" w:hint="default"/>
      </w:rPr>
    </w:lvl>
    <w:lvl w:ilvl="3" w:tplc="04090001" w:tentative="1">
      <w:start w:val="1"/>
      <w:numFmt w:val="bullet"/>
      <w:lvlText w:val=""/>
      <w:lvlJc w:val="left"/>
      <w:pPr>
        <w:ind w:left="2043" w:hanging="420"/>
      </w:pPr>
      <w:rPr>
        <w:rFonts w:ascii="Wingdings" w:hAnsi="Wingdings" w:hint="default"/>
      </w:rPr>
    </w:lvl>
    <w:lvl w:ilvl="4" w:tplc="0409000B" w:tentative="1">
      <w:start w:val="1"/>
      <w:numFmt w:val="bullet"/>
      <w:lvlText w:val=""/>
      <w:lvlJc w:val="left"/>
      <w:pPr>
        <w:ind w:left="2463" w:hanging="420"/>
      </w:pPr>
      <w:rPr>
        <w:rFonts w:ascii="Wingdings" w:hAnsi="Wingdings" w:hint="default"/>
      </w:rPr>
    </w:lvl>
    <w:lvl w:ilvl="5" w:tplc="0409000D" w:tentative="1">
      <w:start w:val="1"/>
      <w:numFmt w:val="bullet"/>
      <w:lvlText w:val=""/>
      <w:lvlJc w:val="left"/>
      <w:pPr>
        <w:ind w:left="2883" w:hanging="420"/>
      </w:pPr>
      <w:rPr>
        <w:rFonts w:ascii="Wingdings" w:hAnsi="Wingdings" w:hint="default"/>
      </w:rPr>
    </w:lvl>
    <w:lvl w:ilvl="6" w:tplc="04090001" w:tentative="1">
      <w:start w:val="1"/>
      <w:numFmt w:val="bullet"/>
      <w:lvlText w:val=""/>
      <w:lvlJc w:val="left"/>
      <w:pPr>
        <w:ind w:left="3303" w:hanging="420"/>
      </w:pPr>
      <w:rPr>
        <w:rFonts w:ascii="Wingdings" w:hAnsi="Wingdings" w:hint="default"/>
      </w:rPr>
    </w:lvl>
    <w:lvl w:ilvl="7" w:tplc="0409000B" w:tentative="1">
      <w:start w:val="1"/>
      <w:numFmt w:val="bullet"/>
      <w:lvlText w:val=""/>
      <w:lvlJc w:val="left"/>
      <w:pPr>
        <w:ind w:left="3723" w:hanging="420"/>
      </w:pPr>
      <w:rPr>
        <w:rFonts w:ascii="Wingdings" w:hAnsi="Wingdings" w:hint="default"/>
      </w:rPr>
    </w:lvl>
    <w:lvl w:ilvl="8" w:tplc="0409000D" w:tentative="1">
      <w:start w:val="1"/>
      <w:numFmt w:val="bullet"/>
      <w:lvlText w:val=""/>
      <w:lvlJc w:val="left"/>
      <w:pPr>
        <w:ind w:left="4143" w:hanging="420"/>
      </w:pPr>
      <w:rPr>
        <w:rFonts w:ascii="Wingdings" w:hAnsi="Wingdings" w:hint="default"/>
      </w:rPr>
    </w:lvl>
  </w:abstractNum>
  <w:abstractNum w:abstractNumId="4" w15:restartNumberingAfterBreak="0">
    <w:nsid w:val="2694358C"/>
    <w:multiLevelType w:val="hybridMultilevel"/>
    <w:tmpl w:val="00E0C8D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872C2A"/>
    <w:multiLevelType w:val="hybridMultilevel"/>
    <w:tmpl w:val="DD4C48A4"/>
    <w:lvl w:ilvl="0" w:tplc="04090005">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55D75BE"/>
    <w:multiLevelType w:val="hybridMultilevel"/>
    <w:tmpl w:val="1C02BF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BC35DA"/>
    <w:multiLevelType w:val="hybridMultilevel"/>
    <w:tmpl w:val="45B24CE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E76854"/>
    <w:multiLevelType w:val="hybridMultilevel"/>
    <w:tmpl w:val="6AA222EC"/>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EF20F75"/>
    <w:multiLevelType w:val="hybridMultilevel"/>
    <w:tmpl w:val="38346B1C"/>
    <w:lvl w:ilvl="0" w:tplc="04090005">
      <w:start w:val="1"/>
      <w:numFmt w:val="bullet"/>
      <w:lvlText w:val=""/>
      <w:lvlJc w:val="left"/>
      <w:pPr>
        <w:ind w:left="595" w:hanging="420"/>
      </w:pPr>
      <w:rPr>
        <w:rFonts w:ascii="Wingdings" w:hAnsi="Wingdings" w:hint="default"/>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10" w15:restartNumberingAfterBreak="0">
    <w:nsid w:val="3EF62AD6"/>
    <w:multiLevelType w:val="hybridMultilevel"/>
    <w:tmpl w:val="2208FED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1DA51BB"/>
    <w:multiLevelType w:val="hybridMultilevel"/>
    <w:tmpl w:val="979E348C"/>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A2465DB"/>
    <w:multiLevelType w:val="hybridMultilevel"/>
    <w:tmpl w:val="0D84F9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FE40F4"/>
    <w:multiLevelType w:val="hybridMultilevel"/>
    <w:tmpl w:val="BEF2EB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3322E63"/>
    <w:multiLevelType w:val="hybridMultilevel"/>
    <w:tmpl w:val="9D10F168"/>
    <w:lvl w:ilvl="0" w:tplc="04090005">
      <w:start w:val="1"/>
      <w:numFmt w:val="bullet"/>
      <w:lvlText w:val=""/>
      <w:lvlJc w:val="left"/>
      <w:pPr>
        <w:ind w:left="595" w:hanging="420"/>
      </w:pPr>
      <w:rPr>
        <w:rFonts w:ascii="Wingdings" w:hAnsi="Wingdings" w:hint="default"/>
      </w:rPr>
    </w:lvl>
    <w:lvl w:ilvl="1" w:tplc="0409000B" w:tentative="1">
      <w:start w:val="1"/>
      <w:numFmt w:val="bullet"/>
      <w:lvlText w:val=""/>
      <w:lvlJc w:val="left"/>
      <w:pPr>
        <w:ind w:left="1015" w:hanging="420"/>
      </w:pPr>
      <w:rPr>
        <w:rFonts w:ascii="Wingdings" w:hAnsi="Wingdings" w:hint="default"/>
      </w:rPr>
    </w:lvl>
    <w:lvl w:ilvl="2" w:tplc="0409000D" w:tentative="1">
      <w:start w:val="1"/>
      <w:numFmt w:val="bullet"/>
      <w:lvlText w:val=""/>
      <w:lvlJc w:val="left"/>
      <w:pPr>
        <w:ind w:left="1435" w:hanging="420"/>
      </w:pPr>
      <w:rPr>
        <w:rFonts w:ascii="Wingdings" w:hAnsi="Wingdings" w:hint="default"/>
      </w:rPr>
    </w:lvl>
    <w:lvl w:ilvl="3" w:tplc="04090001" w:tentative="1">
      <w:start w:val="1"/>
      <w:numFmt w:val="bullet"/>
      <w:lvlText w:val=""/>
      <w:lvlJc w:val="left"/>
      <w:pPr>
        <w:ind w:left="1855" w:hanging="420"/>
      </w:pPr>
      <w:rPr>
        <w:rFonts w:ascii="Wingdings" w:hAnsi="Wingdings" w:hint="default"/>
      </w:rPr>
    </w:lvl>
    <w:lvl w:ilvl="4" w:tplc="0409000B" w:tentative="1">
      <w:start w:val="1"/>
      <w:numFmt w:val="bullet"/>
      <w:lvlText w:val=""/>
      <w:lvlJc w:val="left"/>
      <w:pPr>
        <w:ind w:left="2275" w:hanging="420"/>
      </w:pPr>
      <w:rPr>
        <w:rFonts w:ascii="Wingdings" w:hAnsi="Wingdings" w:hint="default"/>
      </w:rPr>
    </w:lvl>
    <w:lvl w:ilvl="5" w:tplc="0409000D" w:tentative="1">
      <w:start w:val="1"/>
      <w:numFmt w:val="bullet"/>
      <w:lvlText w:val=""/>
      <w:lvlJc w:val="left"/>
      <w:pPr>
        <w:ind w:left="2695" w:hanging="420"/>
      </w:pPr>
      <w:rPr>
        <w:rFonts w:ascii="Wingdings" w:hAnsi="Wingdings" w:hint="default"/>
      </w:rPr>
    </w:lvl>
    <w:lvl w:ilvl="6" w:tplc="04090001" w:tentative="1">
      <w:start w:val="1"/>
      <w:numFmt w:val="bullet"/>
      <w:lvlText w:val=""/>
      <w:lvlJc w:val="left"/>
      <w:pPr>
        <w:ind w:left="3115" w:hanging="420"/>
      </w:pPr>
      <w:rPr>
        <w:rFonts w:ascii="Wingdings" w:hAnsi="Wingdings" w:hint="default"/>
      </w:rPr>
    </w:lvl>
    <w:lvl w:ilvl="7" w:tplc="0409000B" w:tentative="1">
      <w:start w:val="1"/>
      <w:numFmt w:val="bullet"/>
      <w:lvlText w:val=""/>
      <w:lvlJc w:val="left"/>
      <w:pPr>
        <w:ind w:left="3535" w:hanging="420"/>
      </w:pPr>
      <w:rPr>
        <w:rFonts w:ascii="Wingdings" w:hAnsi="Wingdings" w:hint="default"/>
      </w:rPr>
    </w:lvl>
    <w:lvl w:ilvl="8" w:tplc="0409000D" w:tentative="1">
      <w:start w:val="1"/>
      <w:numFmt w:val="bullet"/>
      <w:lvlText w:val=""/>
      <w:lvlJc w:val="left"/>
      <w:pPr>
        <w:ind w:left="3955" w:hanging="420"/>
      </w:pPr>
      <w:rPr>
        <w:rFonts w:ascii="Wingdings" w:hAnsi="Wingdings" w:hint="default"/>
      </w:rPr>
    </w:lvl>
  </w:abstractNum>
  <w:abstractNum w:abstractNumId="15" w15:restartNumberingAfterBreak="0">
    <w:nsid w:val="6B014A0A"/>
    <w:multiLevelType w:val="hybridMultilevel"/>
    <w:tmpl w:val="42A637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30D0B70"/>
    <w:multiLevelType w:val="hybridMultilevel"/>
    <w:tmpl w:val="120A57B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6"/>
  </w:num>
  <w:num w:numId="3">
    <w:abstractNumId w:val="1"/>
  </w:num>
  <w:num w:numId="4">
    <w:abstractNumId w:val="7"/>
  </w:num>
  <w:num w:numId="5">
    <w:abstractNumId w:val="4"/>
  </w:num>
  <w:num w:numId="6">
    <w:abstractNumId w:val="12"/>
  </w:num>
  <w:num w:numId="7">
    <w:abstractNumId w:val="15"/>
  </w:num>
  <w:num w:numId="8">
    <w:abstractNumId w:val="5"/>
  </w:num>
  <w:num w:numId="9">
    <w:abstractNumId w:val="8"/>
  </w:num>
  <w:num w:numId="10">
    <w:abstractNumId w:val="16"/>
  </w:num>
  <w:num w:numId="11">
    <w:abstractNumId w:val="2"/>
  </w:num>
  <w:num w:numId="12">
    <w:abstractNumId w:val="14"/>
  </w:num>
  <w:num w:numId="13">
    <w:abstractNumId w:val="3"/>
  </w:num>
  <w:num w:numId="14">
    <w:abstractNumId w:val="10"/>
  </w:num>
  <w:num w:numId="15">
    <w:abstractNumId w:val="11"/>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C07"/>
    <w:rsid w:val="00012789"/>
    <w:rsid w:val="000175B1"/>
    <w:rsid w:val="0004014E"/>
    <w:rsid w:val="0004381D"/>
    <w:rsid w:val="000A7418"/>
    <w:rsid w:val="000D1C1C"/>
    <w:rsid w:val="000D3826"/>
    <w:rsid w:val="000E478F"/>
    <w:rsid w:val="00104986"/>
    <w:rsid w:val="00131D1B"/>
    <w:rsid w:val="00141451"/>
    <w:rsid w:val="00146591"/>
    <w:rsid w:val="001467C9"/>
    <w:rsid w:val="001530D1"/>
    <w:rsid w:val="001D5382"/>
    <w:rsid w:val="001E4896"/>
    <w:rsid w:val="002A0329"/>
    <w:rsid w:val="002C4B29"/>
    <w:rsid w:val="002D68B7"/>
    <w:rsid w:val="00380899"/>
    <w:rsid w:val="0040161A"/>
    <w:rsid w:val="00410485"/>
    <w:rsid w:val="00411B17"/>
    <w:rsid w:val="00421376"/>
    <w:rsid w:val="00430CE5"/>
    <w:rsid w:val="004843CC"/>
    <w:rsid w:val="004A5DED"/>
    <w:rsid w:val="004A7AFA"/>
    <w:rsid w:val="004E1819"/>
    <w:rsid w:val="00503C07"/>
    <w:rsid w:val="00515432"/>
    <w:rsid w:val="00515D0E"/>
    <w:rsid w:val="00530200"/>
    <w:rsid w:val="0053197B"/>
    <w:rsid w:val="005377F9"/>
    <w:rsid w:val="00541E1E"/>
    <w:rsid w:val="00570B92"/>
    <w:rsid w:val="005A7D03"/>
    <w:rsid w:val="005C0294"/>
    <w:rsid w:val="00602162"/>
    <w:rsid w:val="00621A34"/>
    <w:rsid w:val="006368C5"/>
    <w:rsid w:val="00666F63"/>
    <w:rsid w:val="00693AAB"/>
    <w:rsid w:val="006B0DE8"/>
    <w:rsid w:val="006E16AA"/>
    <w:rsid w:val="006F53A1"/>
    <w:rsid w:val="007179F9"/>
    <w:rsid w:val="00775C4E"/>
    <w:rsid w:val="00775F9E"/>
    <w:rsid w:val="007A6D44"/>
    <w:rsid w:val="007D7442"/>
    <w:rsid w:val="007F6520"/>
    <w:rsid w:val="00806F2A"/>
    <w:rsid w:val="00845532"/>
    <w:rsid w:val="00856292"/>
    <w:rsid w:val="00865D14"/>
    <w:rsid w:val="00883294"/>
    <w:rsid w:val="00900726"/>
    <w:rsid w:val="00926389"/>
    <w:rsid w:val="00927929"/>
    <w:rsid w:val="00963376"/>
    <w:rsid w:val="009D00EE"/>
    <w:rsid w:val="009D1859"/>
    <w:rsid w:val="009D1B48"/>
    <w:rsid w:val="009F0B28"/>
    <w:rsid w:val="009F3175"/>
    <w:rsid w:val="00A34E2D"/>
    <w:rsid w:val="00A611A3"/>
    <w:rsid w:val="00A72DBD"/>
    <w:rsid w:val="00A91B1D"/>
    <w:rsid w:val="00A96947"/>
    <w:rsid w:val="00AC1FB4"/>
    <w:rsid w:val="00AC604D"/>
    <w:rsid w:val="00AD07E3"/>
    <w:rsid w:val="00AE26E4"/>
    <w:rsid w:val="00B2597F"/>
    <w:rsid w:val="00B406CE"/>
    <w:rsid w:val="00B615D5"/>
    <w:rsid w:val="00B72FDA"/>
    <w:rsid w:val="00B90C64"/>
    <w:rsid w:val="00B9669C"/>
    <w:rsid w:val="00BD602E"/>
    <w:rsid w:val="00BD7936"/>
    <w:rsid w:val="00BE55A9"/>
    <w:rsid w:val="00BF716F"/>
    <w:rsid w:val="00C165E4"/>
    <w:rsid w:val="00C74002"/>
    <w:rsid w:val="00C82BD6"/>
    <w:rsid w:val="00C85E0C"/>
    <w:rsid w:val="00CE5B4A"/>
    <w:rsid w:val="00D0169F"/>
    <w:rsid w:val="00D25E7E"/>
    <w:rsid w:val="00D34E20"/>
    <w:rsid w:val="00D57542"/>
    <w:rsid w:val="00D7414C"/>
    <w:rsid w:val="00D77BCE"/>
    <w:rsid w:val="00DC715E"/>
    <w:rsid w:val="00DD5D06"/>
    <w:rsid w:val="00DD601D"/>
    <w:rsid w:val="00E07F49"/>
    <w:rsid w:val="00E5332A"/>
    <w:rsid w:val="00E53CF6"/>
    <w:rsid w:val="00E84C4E"/>
    <w:rsid w:val="00F327A6"/>
    <w:rsid w:val="00F40857"/>
    <w:rsid w:val="00F41641"/>
    <w:rsid w:val="00F53E5E"/>
    <w:rsid w:val="00F55A61"/>
    <w:rsid w:val="00F67435"/>
    <w:rsid w:val="00F93856"/>
    <w:rsid w:val="00FE6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C8A87E7-60A2-4560-ABB9-608D836DC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B48"/>
  </w:style>
  <w:style w:type="paragraph" w:styleId="1">
    <w:name w:val="heading 1"/>
    <w:basedOn w:val="a"/>
    <w:next w:val="a"/>
    <w:link w:val="10"/>
    <w:uiPriority w:val="9"/>
    <w:qFormat/>
    <w:rsid w:val="009D1B48"/>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2">
    <w:name w:val="heading 2"/>
    <w:basedOn w:val="a"/>
    <w:next w:val="a"/>
    <w:link w:val="20"/>
    <w:uiPriority w:val="9"/>
    <w:semiHidden/>
    <w:unhideWhenUsed/>
    <w:qFormat/>
    <w:rsid w:val="009D1B48"/>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3">
    <w:name w:val="heading 3"/>
    <w:basedOn w:val="a"/>
    <w:next w:val="a"/>
    <w:link w:val="30"/>
    <w:uiPriority w:val="9"/>
    <w:semiHidden/>
    <w:unhideWhenUsed/>
    <w:qFormat/>
    <w:rsid w:val="009D1B48"/>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4">
    <w:name w:val="heading 4"/>
    <w:basedOn w:val="a"/>
    <w:next w:val="a"/>
    <w:link w:val="40"/>
    <w:uiPriority w:val="9"/>
    <w:semiHidden/>
    <w:unhideWhenUsed/>
    <w:qFormat/>
    <w:rsid w:val="009D1B48"/>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5">
    <w:name w:val="heading 5"/>
    <w:basedOn w:val="a"/>
    <w:next w:val="a"/>
    <w:link w:val="50"/>
    <w:uiPriority w:val="9"/>
    <w:semiHidden/>
    <w:unhideWhenUsed/>
    <w:qFormat/>
    <w:rsid w:val="009D1B48"/>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6">
    <w:name w:val="heading 6"/>
    <w:basedOn w:val="a"/>
    <w:next w:val="a"/>
    <w:link w:val="60"/>
    <w:uiPriority w:val="9"/>
    <w:semiHidden/>
    <w:unhideWhenUsed/>
    <w:qFormat/>
    <w:rsid w:val="009D1B48"/>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7">
    <w:name w:val="heading 7"/>
    <w:basedOn w:val="a"/>
    <w:next w:val="a"/>
    <w:link w:val="70"/>
    <w:uiPriority w:val="9"/>
    <w:semiHidden/>
    <w:unhideWhenUsed/>
    <w:qFormat/>
    <w:rsid w:val="009D1B48"/>
    <w:pPr>
      <w:keepNext/>
      <w:keepLines/>
      <w:spacing w:before="40" w:after="0"/>
      <w:outlineLvl w:val="6"/>
    </w:pPr>
    <w:rPr>
      <w:rFonts w:asciiTheme="majorHAnsi" w:eastAsiaTheme="majorEastAsia" w:hAnsiTheme="majorHAnsi" w:cstheme="majorBidi"/>
      <w:color w:val="1F4E79" w:themeColor="accent1" w:themeShade="80"/>
    </w:rPr>
  </w:style>
  <w:style w:type="paragraph" w:styleId="8">
    <w:name w:val="heading 8"/>
    <w:basedOn w:val="a"/>
    <w:next w:val="a"/>
    <w:link w:val="80"/>
    <w:uiPriority w:val="9"/>
    <w:semiHidden/>
    <w:unhideWhenUsed/>
    <w:qFormat/>
    <w:rsid w:val="009D1B48"/>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9">
    <w:name w:val="heading 9"/>
    <w:basedOn w:val="a"/>
    <w:next w:val="a"/>
    <w:link w:val="90"/>
    <w:uiPriority w:val="9"/>
    <w:semiHidden/>
    <w:unhideWhenUsed/>
    <w:qFormat/>
    <w:rsid w:val="009D1B48"/>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F9E"/>
    <w:pPr>
      <w:tabs>
        <w:tab w:val="center" w:pos="4252"/>
        <w:tab w:val="right" w:pos="8504"/>
      </w:tabs>
      <w:snapToGrid w:val="0"/>
    </w:pPr>
  </w:style>
  <w:style w:type="character" w:customStyle="1" w:styleId="a4">
    <w:name w:val="ヘッダー (文字)"/>
    <w:basedOn w:val="a0"/>
    <w:link w:val="a3"/>
    <w:uiPriority w:val="99"/>
    <w:rsid w:val="00775F9E"/>
  </w:style>
  <w:style w:type="paragraph" w:styleId="a5">
    <w:name w:val="footer"/>
    <w:basedOn w:val="a"/>
    <w:link w:val="a6"/>
    <w:uiPriority w:val="99"/>
    <w:unhideWhenUsed/>
    <w:rsid w:val="00775F9E"/>
    <w:pPr>
      <w:tabs>
        <w:tab w:val="center" w:pos="4252"/>
        <w:tab w:val="right" w:pos="8504"/>
      </w:tabs>
      <w:snapToGrid w:val="0"/>
    </w:pPr>
  </w:style>
  <w:style w:type="character" w:customStyle="1" w:styleId="a6">
    <w:name w:val="フッター (文字)"/>
    <w:basedOn w:val="a0"/>
    <w:link w:val="a5"/>
    <w:uiPriority w:val="99"/>
    <w:rsid w:val="00775F9E"/>
  </w:style>
  <w:style w:type="paragraph" w:styleId="a7">
    <w:name w:val="List Paragraph"/>
    <w:basedOn w:val="a"/>
    <w:uiPriority w:val="34"/>
    <w:qFormat/>
    <w:rsid w:val="00775F9E"/>
    <w:pPr>
      <w:ind w:leftChars="400" w:left="840"/>
    </w:pPr>
  </w:style>
  <w:style w:type="character" w:customStyle="1" w:styleId="10">
    <w:name w:val="見出し 1 (文字)"/>
    <w:basedOn w:val="a0"/>
    <w:link w:val="1"/>
    <w:uiPriority w:val="9"/>
    <w:rsid w:val="009D1B48"/>
    <w:rPr>
      <w:rFonts w:asciiTheme="majorHAnsi" w:eastAsiaTheme="majorEastAsia" w:hAnsiTheme="majorHAnsi" w:cstheme="majorBidi"/>
      <w:color w:val="2E74B5" w:themeColor="accent1" w:themeShade="BF"/>
      <w:sz w:val="30"/>
      <w:szCs w:val="30"/>
    </w:rPr>
  </w:style>
  <w:style w:type="character" w:customStyle="1" w:styleId="20">
    <w:name w:val="見出し 2 (文字)"/>
    <w:basedOn w:val="a0"/>
    <w:link w:val="2"/>
    <w:uiPriority w:val="9"/>
    <w:semiHidden/>
    <w:rsid w:val="009D1B48"/>
    <w:rPr>
      <w:rFonts w:asciiTheme="majorHAnsi" w:eastAsiaTheme="majorEastAsia" w:hAnsiTheme="majorHAnsi" w:cstheme="majorBidi"/>
      <w:color w:val="C45911" w:themeColor="accent2" w:themeShade="BF"/>
      <w:sz w:val="28"/>
      <w:szCs w:val="28"/>
    </w:rPr>
  </w:style>
  <w:style w:type="character" w:customStyle="1" w:styleId="30">
    <w:name w:val="見出し 3 (文字)"/>
    <w:basedOn w:val="a0"/>
    <w:link w:val="3"/>
    <w:uiPriority w:val="9"/>
    <w:semiHidden/>
    <w:rsid w:val="009D1B48"/>
    <w:rPr>
      <w:rFonts w:asciiTheme="majorHAnsi" w:eastAsiaTheme="majorEastAsia" w:hAnsiTheme="majorHAnsi" w:cstheme="majorBidi"/>
      <w:color w:val="538135" w:themeColor="accent6" w:themeShade="BF"/>
      <w:sz w:val="26"/>
      <w:szCs w:val="26"/>
    </w:rPr>
  </w:style>
  <w:style w:type="character" w:customStyle="1" w:styleId="40">
    <w:name w:val="見出し 4 (文字)"/>
    <w:basedOn w:val="a0"/>
    <w:link w:val="4"/>
    <w:uiPriority w:val="9"/>
    <w:semiHidden/>
    <w:rsid w:val="009D1B48"/>
    <w:rPr>
      <w:rFonts w:asciiTheme="majorHAnsi" w:eastAsiaTheme="majorEastAsia" w:hAnsiTheme="majorHAnsi" w:cstheme="majorBidi"/>
      <w:i/>
      <w:iCs/>
      <w:color w:val="2F5496" w:themeColor="accent5" w:themeShade="BF"/>
      <w:sz w:val="25"/>
      <w:szCs w:val="25"/>
    </w:rPr>
  </w:style>
  <w:style w:type="character" w:customStyle="1" w:styleId="50">
    <w:name w:val="見出し 5 (文字)"/>
    <w:basedOn w:val="a0"/>
    <w:link w:val="5"/>
    <w:uiPriority w:val="9"/>
    <w:semiHidden/>
    <w:rsid w:val="009D1B48"/>
    <w:rPr>
      <w:rFonts w:asciiTheme="majorHAnsi" w:eastAsiaTheme="majorEastAsia" w:hAnsiTheme="majorHAnsi" w:cstheme="majorBidi"/>
      <w:i/>
      <w:iCs/>
      <w:color w:val="833C0B" w:themeColor="accent2" w:themeShade="80"/>
      <w:sz w:val="24"/>
      <w:szCs w:val="24"/>
    </w:rPr>
  </w:style>
  <w:style w:type="character" w:customStyle="1" w:styleId="60">
    <w:name w:val="見出し 6 (文字)"/>
    <w:basedOn w:val="a0"/>
    <w:link w:val="6"/>
    <w:uiPriority w:val="9"/>
    <w:semiHidden/>
    <w:rsid w:val="009D1B48"/>
    <w:rPr>
      <w:rFonts w:asciiTheme="majorHAnsi" w:eastAsiaTheme="majorEastAsia" w:hAnsiTheme="majorHAnsi" w:cstheme="majorBidi"/>
      <w:i/>
      <w:iCs/>
      <w:color w:val="385623" w:themeColor="accent6" w:themeShade="80"/>
      <w:sz w:val="23"/>
      <w:szCs w:val="23"/>
    </w:rPr>
  </w:style>
  <w:style w:type="character" w:customStyle="1" w:styleId="70">
    <w:name w:val="見出し 7 (文字)"/>
    <w:basedOn w:val="a0"/>
    <w:link w:val="7"/>
    <w:uiPriority w:val="9"/>
    <w:semiHidden/>
    <w:rsid w:val="009D1B48"/>
    <w:rPr>
      <w:rFonts w:asciiTheme="majorHAnsi" w:eastAsiaTheme="majorEastAsia" w:hAnsiTheme="majorHAnsi" w:cstheme="majorBidi"/>
      <w:color w:val="1F4E79" w:themeColor="accent1" w:themeShade="80"/>
    </w:rPr>
  </w:style>
  <w:style w:type="character" w:customStyle="1" w:styleId="80">
    <w:name w:val="見出し 8 (文字)"/>
    <w:basedOn w:val="a0"/>
    <w:link w:val="8"/>
    <w:uiPriority w:val="9"/>
    <w:semiHidden/>
    <w:rsid w:val="009D1B48"/>
    <w:rPr>
      <w:rFonts w:asciiTheme="majorHAnsi" w:eastAsiaTheme="majorEastAsia" w:hAnsiTheme="majorHAnsi" w:cstheme="majorBidi"/>
      <w:color w:val="833C0B" w:themeColor="accent2" w:themeShade="80"/>
      <w:sz w:val="21"/>
      <w:szCs w:val="21"/>
    </w:rPr>
  </w:style>
  <w:style w:type="character" w:customStyle="1" w:styleId="90">
    <w:name w:val="見出し 9 (文字)"/>
    <w:basedOn w:val="a0"/>
    <w:link w:val="9"/>
    <w:uiPriority w:val="9"/>
    <w:semiHidden/>
    <w:rsid w:val="009D1B48"/>
    <w:rPr>
      <w:rFonts w:asciiTheme="majorHAnsi" w:eastAsiaTheme="majorEastAsia" w:hAnsiTheme="majorHAnsi" w:cstheme="majorBidi"/>
      <w:color w:val="385623" w:themeColor="accent6" w:themeShade="80"/>
    </w:rPr>
  </w:style>
  <w:style w:type="paragraph" w:styleId="a8">
    <w:name w:val="caption"/>
    <w:basedOn w:val="a"/>
    <w:next w:val="a"/>
    <w:uiPriority w:val="35"/>
    <w:semiHidden/>
    <w:unhideWhenUsed/>
    <w:qFormat/>
    <w:rsid w:val="009D1B48"/>
    <w:pPr>
      <w:spacing w:line="240" w:lineRule="auto"/>
    </w:pPr>
    <w:rPr>
      <w:b/>
      <w:bCs/>
      <w:smallCaps/>
      <w:color w:val="5B9BD5" w:themeColor="accent1"/>
      <w:spacing w:val="6"/>
    </w:rPr>
  </w:style>
  <w:style w:type="paragraph" w:styleId="a9">
    <w:name w:val="Title"/>
    <w:basedOn w:val="a"/>
    <w:next w:val="a"/>
    <w:link w:val="aa"/>
    <w:uiPriority w:val="10"/>
    <w:qFormat/>
    <w:rsid w:val="009D1B48"/>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aa">
    <w:name w:val="表題 (文字)"/>
    <w:basedOn w:val="a0"/>
    <w:link w:val="a9"/>
    <w:uiPriority w:val="10"/>
    <w:rsid w:val="009D1B48"/>
    <w:rPr>
      <w:rFonts w:asciiTheme="majorHAnsi" w:eastAsiaTheme="majorEastAsia" w:hAnsiTheme="majorHAnsi" w:cstheme="majorBidi"/>
      <w:color w:val="2E74B5" w:themeColor="accent1" w:themeShade="BF"/>
      <w:spacing w:val="-10"/>
      <w:sz w:val="52"/>
      <w:szCs w:val="52"/>
    </w:rPr>
  </w:style>
  <w:style w:type="paragraph" w:styleId="ab">
    <w:name w:val="Subtitle"/>
    <w:basedOn w:val="a"/>
    <w:next w:val="a"/>
    <w:link w:val="ac"/>
    <w:uiPriority w:val="11"/>
    <w:qFormat/>
    <w:rsid w:val="009D1B48"/>
    <w:pPr>
      <w:numPr>
        <w:ilvl w:val="1"/>
      </w:numPr>
      <w:spacing w:line="240" w:lineRule="auto"/>
    </w:pPr>
    <w:rPr>
      <w:rFonts w:asciiTheme="majorHAnsi" w:eastAsiaTheme="majorEastAsia" w:hAnsiTheme="majorHAnsi" w:cstheme="majorBidi"/>
    </w:rPr>
  </w:style>
  <w:style w:type="character" w:customStyle="1" w:styleId="ac">
    <w:name w:val="副題 (文字)"/>
    <w:basedOn w:val="a0"/>
    <w:link w:val="ab"/>
    <w:uiPriority w:val="11"/>
    <w:rsid w:val="009D1B48"/>
    <w:rPr>
      <w:rFonts w:asciiTheme="majorHAnsi" w:eastAsiaTheme="majorEastAsia" w:hAnsiTheme="majorHAnsi" w:cstheme="majorBidi"/>
    </w:rPr>
  </w:style>
  <w:style w:type="character" w:styleId="ad">
    <w:name w:val="Strong"/>
    <w:basedOn w:val="a0"/>
    <w:uiPriority w:val="22"/>
    <w:qFormat/>
    <w:rsid w:val="009D1B48"/>
    <w:rPr>
      <w:b/>
      <w:bCs/>
    </w:rPr>
  </w:style>
  <w:style w:type="character" w:styleId="ae">
    <w:name w:val="Emphasis"/>
    <w:basedOn w:val="a0"/>
    <w:uiPriority w:val="20"/>
    <w:qFormat/>
    <w:rsid w:val="009D1B48"/>
    <w:rPr>
      <w:i/>
      <w:iCs/>
    </w:rPr>
  </w:style>
  <w:style w:type="paragraph" w:styleId="af">
    <w:name w:val="No Spacing"/>
    <w:uiPriority w:val="1"/>
    <w:qFormat/>
    <w:rsid w:val="009D1B48"/>
    <w:pPr>
      <w:spacing w:after="0" w:line="240" w:lineRule="auto"/>
    </w:pPr>
  </w:style>
  <w:style w:type="paragraph" w:styleId="af0">
    <w:name w:val="Quote"/>
    <w:basedOn w:val="a"/>
    <w:next w:val="a"/>
    <w:link w:val="af1"/>
    <w:uiPriority w:val="29"/>
    <w:qFormat/>
    <w:rsid w:val="009D1B48"/>
    <w:pPr>
      <w:spacing w:before="120"/>
      <w:ind w:left="720" w:right="720"/>
      <w:jc w:val="center"/>
    </w:pPr>
    <w:rPr>
      <w:i/>
      <w:iCs/>
    </w:rPr>
  </w:style>
  <w:style w:type="character" w:customStyle="1" w:styleId="af1">
    <w:name w:val="引用文 (文字)"/>
    <w:basedOn w:val="a0"/>
    <w:link w:val="af0"/>
    <w:uiPriority w:val="29"/>
    <w:rsid w:val="009D1B48"/>
    <w:rPr>
      <w:i/>
      <w:iCs/>
    </w:rPr>
  </w:style>
  <w:style w:type="paragraph" w:styleId="21">
    <w:name w:val="Intense Quote"/>
    <w:basedOn w:val="a"/>
    <w:next w:val="a"/>
    <w:link w:val="22"/>
    <w:uiPriority w:val="30"/>
    <w:qFormat/>
    <w:rsid w:val="009D1B48"/>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22">
    <w:name w:val="引用文 2 (文字)"/>
    <w:basedOn w:val="a0"/>
    <w:link w:val="21"/>
    <w:uiPriority w:val="30"/>
    <w:rsid w:val="009D1B48"/>
    <w:rPr>
      <w:rFonts w:asciiTheme="majorHAnsi" w:eastAsiaTheme="majorEastAsia" w:hAnsiTheme="majorHAnsi" w:cstheme="majorBidi"/>
      <w:color w:val="5B9BD5" w:themeColor="accent1"/>
      <w:sz w:val="24"/>
      <w:szCs w:val="24"/>
    </w:rPr>
  </w:style>
  <w:style w:type="character" w:styleId="af2">
    <w:name w:val="Subtle Emphasis"/>
    <w:basedOn w:val="a0"/>
    <w:uiPriority w:val="19"/>
    <w:qFormat/>
    <w:rsid w:val="009D1B48"/>
    <w:rPr>
      <w:i/>
      <w:iCs/>
      <w:color w:val="404040" w:themeColor="text1" w:themeTint="BF"/>
    </w:rPr>
  </w:style>
  <w:style w:type="character" w:styleId="23">
    <w:name w:val="Intense Emphasis"/>
    <w:basedOn w:val="a0"/>
    <w:uiPriority w:val="21"/>
    <w:qFormat/>
    <w:rsid w:val="009D1B48"/>
    <w:rPr>
      <w:b w:val="0"/>
      <w:bCs w:val="0"/>
      <w:i/>
      <w:iCs/>
      <w:color w:val="5B9BD5" w:themeColor="accent1"/>
    </w:rPr>
  </w:style>
  <w:style w:type="character" w:styleId="af3">
    <w:name w:val="Subtle Reference"/>
    <w:basedOn w:val="a0"/>
    <w:uiPriority w:val="31"/>
    <w:qFormat/>
    <w:rsid w:val="009D1B48"/>
    <w:rPr>
      <w:smallCaps/>
      <w:color w:val="404040" w:themeColor="text1" w:themeTint="BF"/>
      <w:u w:val="single" w:color="7F7F7F" w:themeColor="text1" w:themeTint="80"/>
    </w:rPr>
  </w:style>
  <w:style w:type="character" w:styleId="24">
    <w:name w:val="Intense Reference"/>
    <w:basedOn w:val="a0"/>
    <w:uiPriority w:val="32"/>
    <w:qFormat/>
    <w:rsid w:val="009D1B48"/>
    <w:rPr>
      <w:b/>
      <w:bCs/>
      <w:smallCaps/>
      <w:color w:val="5B9BD5" w:themeColor="accent1"/>
      <w:spacing w:val="5"/>
      <w:u w:val="single"/>
    </w:rPr>
  </w:style>
  <w:style w:type="character" w:styleId="af4">
    <w:name w:val="Book Title"/>
    <w:basedOn w:val="a0"/>
    <w:uiPriority w:val="33"/>
    <w:qFormat/>
    <w:rsid w:val="009D1B48"/>
    <w:rPr>
      <w:b/>
      <w:bCs/>
      <w:smallCaps/>
    </w:rPr>
  </w:style>
  <w:style w:type="paragraph" w:styleId="af5">
    <w:name w:val="TOC Heading"/>
    <w:basedOn w:val="1"/>
    <w:next w:val="a"/>
    <w:uiPriority w:val="39"/>
    <w:semiHidden/>
    <w:unhideWhenUsed/>
    <w:qFormat/>
    <w:rsid w:val="009D1B48"/>
    <w:pPr>
      <w:outlineLvl w:val="9"/>
    </w:pPr>
  </w:style>
  <w:style w:type="table" w:styleId="af6">
    <w:name w:val="Table Grid"/>
    <w:basedOn w:val="a1"/>
    <w:uiPriority w:val="39"/>
    <w:rsid w:val="0085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BE5AB-5083-4E31-ABD3-D5966FA1A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6</Pages>
  <Words>835</Words>
  <Characters>4763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清水克彦</dc:creator>
  <cp:keywords/>
  <dc:description/>
  <cp:lastModifiedBy>清水克彦</cp:lastModifiedBy>
  <cp:revision>31</cp:revision>
  <cp:lastPrinted>2016-12-09T00:58:00Z</cp:lastPrinted>
  <dcterms:created xsi:type="dcterms:W3CDTF">2016-12-08T22:09:00Z</dcterms:created>
  <dcterms:modified xsi:type="dcterms:W3CDTF">2016-12-17T08:59:00Z</dcterms:modified>
</cp:coreProperties>
</file>